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72"/>
        </w:rPr>
        <w:t>唐山市司法局</w:t>
      </w:r>
    </w:p>
    <w:p>
      <w:pPr>
        <w:spacing w:before="0" w:after="0" w:line="240" w:lineRule="auto"/>
        <w:ind w:firstLine="0"/>
        <w:jc w:val="center"/>
        <w:outlineLvl w:val="9"/>
      </w:pPr>
      <w:r>
        <w:rPr>
          <w:rFonts w:ascii="方正小标宋_GBK" w:hAnsi="方正小标宋_GBK" w:eastAsia="方正小标宋_GBK" w:cs="方正小标宋_GBK"/>
          <w:color w:val="000000"/>
          <w:sz w:val="72"/>
        </w:rPr>
        <w:t>2026年部</w:t>
      </w:r>
      <w:bookmarkStart w:id="47" w:name="_GoBack"/>
      <w:bookmarkEnd w:id="47"/>
      <w:r>
        <w:rPr>
          <w:rFonts w:ascii="方正小标宋_GBK" w:hAnsi="方正小标宋_GBK" w:eastAsia="方正小标宋_GBK" w:cs="方正小标宋_GBK"/>
          <w:color w:val="000000"/>
          <w:sz w:val="72"/>
        </w:rPr>
        <w:t>门预算绩效文本</w:t>
      </w:r>
    </w:p>
    <w:p>
      <w:pPr>
        <w:spacing w:before="0" w:after="0" w:line="240" w:lineRule="auto"/>
        <w:ind w:firstLine="0"/>
        <w:jc w:val="center"/>
        <w:outlineLvl w:val="9"/>
      </w:pPr>
      <w:r>
        <w:rPr>
          <w:rFonts w:ascii="方正小标宋_GBK" w:hAnsi="方正小标宋_GBK" w:eastAsia="方正小标宋_GBK" w:cs="方正小标宋_GBK"/>
          <w:color w:val="000000"/>
          <w:sz w:val="52"/>
        </w:rPr>
        <w:t>（草案）</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方正楷体_GBK" w:hAnsi="方正楷体_GBK" w:eastAsia="方正楷体_GBK" w:cs="方正楷体_GBK"/>
          <w:b/>
          <w:color w:val="000000"/>
          <w:sz w:val="32"/>
        </w:rPr>
        <w:t>唐山市司法局编制</w:t>
      </w:r>
    </w:p>
    <w:p>
      <w:pPr>
        <w:spacing w:before="0" w:after="0" w:line="240" w:lineRule="auto"/>
        <w:ind w:firstLine="0"/>
        <w:jc w:val="center"/>
        <w:outlineLvl w:val="9"/>
        <w:sectPr>
          <w:pgSz w:w="11900" w:h="16840"/>
          <w:pgMar w:top="1984" w:right="1304" w:bottom="1134" w:left="1304" w:header="720" w:footer="720" w:gutter="0"/>
          <w:titlePg/>
        </w:sectPr>
      </w:pPr>
      <w:r>
        <w:rPr>
          <w:rFonts w:ascii="方正楷体_GBK" w:hAnsi="方正楷体_GBK" w:eastAsia="方正楷体_GBK" w:cs="方正楷体_GBK"/>
          <w:b/>
          <w:color w:val="000000"/>
          <w:sz w:val="32"/>
        </w:rPr>
        <w:t>唐山市财政局审核</w:t>
      </w:r>
    </w:p>
    <w:p>
      <w:pPr>
        <w:spacing w:before="0" w:after="0" w:line="240" w:lineRule="auto"/>
        <w:ind w:firstLine="0"/>
        <w:jc w:val="center"/>
        <w:outlineLvl w:val="9"/>
        <w:sectPr>
          <w:pgSz w:w="11900" w:h="16840"/>
          <w:pgMar w:top="1984" w:right="1304" w:bottom="1134" w:left="1304" w:header="720" w:footer="720" w:gutter="0"/>
          <w:titlePg/>
        </w:sectPr>
      </w:pP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30"/>
        </w:rPr>
        <w:t>第一部分 部门整体绩效目标</w:t>
      </w:r>
    </w:p>
    <w:p>
      <w:pPr>
        <w:pStyle w:val="2"/>
        <w:tabs>
          <w:tab w:val="right" w:leader="dot" w:pos="928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282"/>
        </w:tabs>
      </w:pPr>
      <w:r>
        <w:fldChar w:fldCharType="begin"/>
      </w:r>
      <w:r>
        <w:instrText xml:space="preserve">HYPERLINK \l _Toc_2_2_0000000002</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2"/>
        <w:tabs>
          <w:tab w:val="right" w:leader="dot" w:pos="9282"/>
        </w:tabs>
      </w:pPr>
      <w:r>
        <w:fldChar w:fldCharType="begin"/>
      </w:r>
      <w:r>
        <w:instrText xml:space="preserve">HYPERLINK \l _Toc_2_2_0000000003</w:instrText>
      </w:r>
      <w:r>
        <w:fldChar w:fldCharType="separate"/>
      </w:r>
      <w:r>
        <w:t>三、工作保障措施</w:t>
      </w:r>
      <w:r>
        <w:tab/>
      </w:r>
      <w:r>
        <w:fldChar w:fldCharType="begin"/>
      </w:r>
      <w:r>
        <w:instrText xml:space="preserve">PAGEREF _Toc_2_2_0000000003 \h</w:instrText>
      </w:r>
      <w:r>
        <w:fldChar w:fldCharType="separate"/>
      </w:r>
      <w:r>
        <w:t>2</w:t>
      </w:r>
      <w:r>
        <w:fldChar w:fldCharType="end"/>
      </w:r>
      <w:r>
        <w:fldChar w:fldCharType="end"/>
      </w:r>
    </w:p>
    <w:p>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30"/>
        </w:rPr>
        <w:t>第二部分 预算项目绩效目标</w:t>
      </w:r>
    </w:p>
    <w:p>
      <w:pPr>
        <w:pStyle w:val="2"/>
        <w:tabs>
          <w:tab w:val="right" w:leader="dot" w:pos="9282"/>
        </w:tabs>
      </w:pPr>
      <w:r>
        <w:fldChar w:fldCharType="begin"/>
      </w:r>
      <w:r>
        <w:instrText xml:space="preserve">TOC \o "4-4" \h \z \u</w:instrText>
      </w:r>
      <w:r>
        <w:fldChar w:fldCharType="separate"/>
      </w:r>
      <w:r>
        <w:fldChar w:fldCharType="begin"/>
      </w:r>
      <w:r>
        <w:instrText xml:space="preserve">HYPERLINK \l _Toc_4_4_0000000004</w:instrText>
      </w:r>
      <w:r>
        <w:fldChar w:fldCharType="separate"/>
      </w:r>
      <w:r>
        <w:t>1.安置帮教业务费绩效目标表</w:t>
      </w:r>
      <w:r>
        <w:tab/>
      </w:r>
      <w:r>
        <w:fldChar w:fldCharType="begin"/>
      </w:r>
      <w:r>
        <w:instrText xml:space="preserve">PAGEREF _Toc_4_4_0000000004 \h</w:instrText>
      </w:r>
      <w:r>
        <w:fldChar w:fldCharType="separate"/>
      </w:r>
      <w:r>
        <w:t>6</w:t>
      </w:r>
      <w:r>
        <w:fldChar w:fldCharType="end"/>
      </w:r>
      <w:r>
        <w:fldChar w:fldCharType="end"/>
      </w:r>
    </w:p>
    <w:p>
      <w:pPr>
        <w:pStyle w:val="2"/>
        <w:tabs>
          <w:tab w:val="right" w:leader="dot" w:pos="9282"/>
        </w:tabs>
      </w:pPr>
      <w:r>
        <w:fldChar w:fldCharType="begin"/>
      </w:r>
      <w:r>
        <w:instrText xml:space="preserve">HYPERLINK \l _Toc_4_4_0000000005</w:instrText>
      </w:r>
      <w:r>
        <w:fldChar w:fldCharType="separate"/>
      </w:r>
      <w:r>
        <w:t>2.法律援助办案补贴（业务费）绩效目标表</w:t>
      </w:r>
      <w:r>
        <w:tab/>
      </w:r>
      <w:r>
        <w:fldChar w:fldCharType="begin"/>
      </w:r>
      <w:r>
        <w:instrText xml:space="preserve">PAGEREF _Toc_4_4_0000000005 \h</w:instrText>
      </w:r>
      <w:r>
        <w:fldChar w:fldCharType="separate"/>
      </w:r>
      <w:r>
        <w:t>7</w:t>
      </w:r>
      <w:r>
        <w:fldChar w:fldCharType="end"/>
      </w:r>
      <w:r>
        <w:fldChar w:fldCharType="end"/>
      </w:r>
    </w:p>
    <w:p>
      <w:pPr>
        <w:pStyle w:val="2"/>
        <w:tabs>
          <w:tab w:val="right" w:leader="dot" w:pos="9282"/>
        </w:tabs>
      </w:pPr>
      <w:r>
        <w:fldChar w:fldCharType="begin"/>
      </w:r>
      <w:r>
        <w:instrText xml:space="preserve">HYPERLINK \l _Toc_4_4_0000000006</w:instrText>
      </w:r>
      <w:r>
        <w:fldChar w:fldCharType="separate"/>
      </w:r>
      <w:r>
        <w:t>3.法制建设业务费绩效目标表</w:t>
      </w:r>
      <w:r>
        <w:tab/>
      </w:r>
      <w:r>
        <w:fldChar w:fldCharType="begin"/>
      </w:r>
      <w:r>
        <w:instrText xml:space="preserve">PAGEREF _Toc_4_4_0000000006 \h</w:instrText>
      </w:r>
      <w:r>
        <w:fldChar w:fldCharType="separate"/>
      </w:r>
      <w:r>
        <w:t>8</w:t>
      </w:r>
      <w:r>
        <w:fldChar w:fldCharType="end"/>
      </w:r>
      <w:r>
        <w:fldChar w:fldCharType="end"/>
      </w:r>
    </w:p>
    <w:p>
      <w:pPr>
        <w:pStyle w:val="2"/>
        <w:tabs>
          <w:tab w:val="right" w:leader="dot" w:pos="9282"/>
        </w:tabs>
      </w:pPr>
      <w:r>
        <w:fldChar w:fldCharType="begin"/>
      </w:r>
      <w:r>
        <w:instrText xml:space="preserve">HYPERLINK \l _Toc_4_4_0000000007</w:instrText>
      </w:r>
      <w:r>
        <w:fldChar w:fldCharType="separate"/>
      </w:r>
      <w:r>
        <w:t>4.法制业务专业材料费绩效目标表</w:t>
      </w:r>
      <w:r>
        <w:tab/>
      </w:r>
      <w:r>
        <w:fldChar w:fldCharType="begin"/>
      </w:r>
      <w:r>
        <w:instrText xml:space="preserve">PAGEREF _Toc_4_4_0000000007 \h</w:instrText>
      </w:r>
      <w:r>
        <w:fldChar w:fldCharType="separate"/>
      </w:r>
      <w:r>
        <w:t>9</w:t>
      </w:r>
      <w:r>
        <w:fldChar w:fldCharType="end"/>
      </w:r>
      <w:r>
        <w:fldChar w:fldCharType="end"/>
      </w:r>
    </w:p>
    <w:p>
      <w:pPr>
        <w:pStyle w:val="2"/>
        <w:tabs>
          <w:tab w:val="right" w:leader="dot" w:pos="9282"/>
        </w:tabs>
      </w:pPr>
      <w:r>
        <w:fldChar w:fldCharType="begin"/>
      </w:r>
      <w:r>
        <w:instrText xml:space="preserve">HYPERLINK \l _Toc_4_4_0000000008</w:instrText>
      </w:r>
      <w:r>
        <w:fldChar w:fldCharType="separate"/>
      </w:r>
      <w:r>
        <w:t>5.服装费绩效目标表</w:t>
      </w:r>
      <w:r>
        <w:tab/>
      </w:r>
      <w:r>
        <w:fldChar w:fldCharType="begin"/>
      </w:r>
      <w:r>
        <w:instrText xml:space="preserve">PAGEREF _Toc_4_4_0000000008 \h</w:instrText>
      </w:r>
      <w:r>
        <w:fldChar w:fldCharType="separate"/>
      </w:r>
      <w:r>
        <w:t>10</w:t>
      </w:r>
      <w:r>
        <w:fldChar w:fldCharType="end"/>
      </w:r>
      <w:r>
        <w:fldChar w:fldCharType="end"/>
      </w:r>
    </w:p>
    <w:p>
      <w:pPr>
        <w:pStyle w:val="2"/>
        <w:tabs>
          <w:tab w:val="right" w:leader="dot" w:pos="9282"/>
        </w:tabs>
      </w:pPr>
      <w:r>
        <w:fldChar w:fldCharType="begin"/>
      </w:r>
      <w:r>
        <w:instrText xml:space="preserve">HYPERLINK \l _Toc_4_4_0000000009</w:instrText>
      </w:r>
      <w:r>
        <w:fldChar w:fldCharType="separate"/>
      </w:r>
      <w:r>
        <w:t>6.公共法律服务业务费绩效目标表</w:t>
      </w:r>
      <w:r>
        <w:tab/>
      </w:r>
      <w:r>
        <w:fldChar w:fldCharType="begin"/>
      </w:r>
      <w:r>
        <w:instrText xml:space="preserve">PAGEREF _Toc_4_4_0000000009 \h</w:instrText>
      </w:r>
      <w:r>
        <w:fldChar w:fldCharType="separate"/>
      </w:r>
      <w:r>
        <w:t>11</w:t>
      </w:r>
      <w:r>
        <w:fldChar w:fldCharType="end"/>
      </w:r>
      <w:r>
        <w:fldChar w:fldCharType="end"/>
      </w:r>
    </w:p>
    <w:p>
      <w:pPr>
        <w:pStyle w:val="2"/>
        <w:tabs>
          <w:tab w:val="right" w:leader="dot" w:pos="9282"/>
        </w:tabs>
      </w:pPr>
      <w:r>
        <w:fldChar w:fldCharType="begin"/>
      </w:r>
      <w:r>
        <w:instrText xml:space="preserve">HYPERLINK \l _Toc_4_4_0000000010</w:instrText>
      </w:r>
      <w:r>
        <w:fldChar w:fldCharType="separate"/>
      </w:r>
      <w:r>
        <w:t>7.基层司法业务支出绩效目标表</w:t>
      </w:r>
      <w:r>
        <w:tab/>
      </w:r>
      <w:r>
        <w:fldChar w:fldCharType="begin"/>
      </w:r>
      <w:r>
        <w:instrText xml:space="preserve">PAGEREF _Toc_4_4_0000000010 \h</w:instrText>
      </w:r>
      <w:r>
        <w:fldChar w:fldCharType="separate"/>
      </w:r>
      <w:r>
        <w:t>12</w:t>
      </w:r>
      <w:r>
        <w:fldChar w:fldCharType="end"/>
      </w:r>
      <w:r>
        <w:fldChar w:fldCharType="end"/>
      </w:r>
    </w:p>
    <w:p>
      <w:pPr>
        <w:pStyle w:val="2"/>
        <w:tabs>
          <w:tab w:val="right" w:leader="dot" w:pos="9282"/>
        </w:tabs>
      </w:pPr>
      <w:r>
        <w:fldChar w:fldCharType="begin"/>
      </w:r>
      <w:r>
        <w:instrText xml:space="preserve">HYPERLINK \l _Toc_4_4_0000000011</w:instrText>
      </w:r>
      <w:r>
        <w:fldChar w:fldCharType="separate"/>
      </w:r>
      <w:r>
        <w:t>8.普法业务费绩效目标表</w:t>
      </w:r>
      <w:r>
        <w:tab/>
      </w:r>
      <w:r>
        <w:fldChar w:fldCharType="begin"/>
      </w:r>
      <w:r>
        <w:instrText xml:space="preserve">PAGEREF _Toc_4_4_0000000011 \h</w:instrText>
      </w:r>
      <w:r>
        <w:fldChar w:fldCharType="separate"/>
      </w:r>
      <w:r>
        <w:t>13</w:t>
      </w:r>
      <w:r>
        <w:fldChar w:fldCharType="end"/>
      </w:r>
      <w:r>
        <w:fldChar w:fldCharType="end"/>
      </w:r>
    </w:p>
    <w:p>
      <w:pPr>
        <w:pStyle w:val="2"/>
        <w:tabs>
          <w:tab w:val="right" w:leader="dot" w:pos="9282"/>
        </w:tabs>
      </w:pPr>
      <w:r>
        <w:fldChar w:fldCharType="begin"/>
      </w:r>
      <w:r>
        <w:instrText xml:space="preserve">HYPERLINK \l _Toc_4_4_0000000012</w:instrText>
      </w:r>
      <w:r>
        <w:fldChar w:fldCharType="separate"/>
      </w:r>
      <w:r>
        <w:t>9.普法专业材料费绩效目标表</w:t>
      </w:r>
      <w:r>
        <w:tab/>
      </w:r>
      <w:r>
        <w:fldChar w:fldCharType="begin"/>
      </w:r>
      <w:r>
        <w:instrText xml:space="preserve">PAGEREF _Toc_4_4_0000000012 \h</w:instrText>
      </w:r>
      <w:r>
        <w:fldChar w:fldCharType="separate"/>
      </w:r>
      <w:r>
        <w:t>14</w:t>
      </w:r>
      <w:r>
        <w:fldChar w:fldCharType="end"/>
      </w:r>
      <w:r>
        <w:fldChar w:fldCharType="end"/>
      </w:r>
    </w:p>
    <w:p>
      <w:pPr>
        <w:pStyle w:val="2"/>
        <w:tabs>
          <w:tab w:val="right" w:leader="dot" w:pos="9282"/>
        </w:tabs>
      </w:pPr>
      <w:r>
        <w:fldChar w:fldCharType="begin"/>
      </w:r>
      <w:r>
        <w:instrText xml:space="preserve">HYPERLINK \l _Toc_4_4_0000000013</w:instrText>
      </w:r>
      <w:r>
        <w:fldChar w:fldCharType="separate"/>
      </w:r>
      <w:r>
        <w:t>10.全市行政执法人员考务费绩效目标表</w:t>
      </w:r>
      <w:r>
        <w:tab/>
      </w:r>
      <w:r>
        <w:fldChar w:fldCharType="begin"/>
      </w:r>
      <w:r>
        <w:instrText xml:space="preserve">PAGEREF _Toc_4_4_0000000013 \h</w:instrText>
      </w:r>
      <w:r>
        <w:fldChar w:fldCharType="separate"/>
      </w:r>
      <w:r>
        <w:t>15</w:t>
      </w:r>
      <w:r>
        <w:fldChar w:fldCharType="end"/>
      </w:r>
      <w:r>
        <w:fldChar w:fldCharType="end"/>
      </w:r>
    </w:p>
    <w:p>
      <w:pPr>
        <w:pStyle w:val="2"/>
        <w:tabs>
          <w:tab w:val="right" w:leader="dot" w:pos="9282"/>
        </w:tabs>
      </w:pPr>
      <w:r>
        <w:fldChar w:fldCharType="begin"/>
      </w:r>
      <w:r>
        <w:instrText xml:space="preserve">HYPERLINK \l _Toc_4_4_0000000014</w:instrText>
      </w:r>
      <w:r>
        <w:fldChar w:fldCharType="separate"/>
      </w:r>
      <w:r>
        <w:t>11.人民调解业务费绩效目标表</w:t>
      </w:r>
      <w:r>
        <w:tab/>
      </w:r>
      <w:r>
        <w:fldChar w:fldCharType="begin"/>
      </w:r>
      <w:r>
        <w:instrText xml:space="preserve">PAGEREF _Toc_4_4_0000000014 \h</w:instrText>
      </w:r>
      <w:r>
        <w:fldChar w:fldCharType="separate"/>
      </w:r>
      <w:r>
        <w:t>16</w:t>
      </w:r>
      <w:r>
        <w:fldChar w:fldCharType="end"/>
      </w:r>
      <w:r>
        <w:fldChar w:fldCharType="end"/>
      </w:r>
    </w:p>
    <w:p>
      <w:pPr>
        <w:pStyle w:val="2"/>
        <w:tabs>
          <w:tab w:val="right" w:leader="dot" w:pos="9282"/>
        </w:tabs>
      </w:pPr>
      <w:r>
        <w:fldChar w:fldCharType="begin"/>
      </w:r>
      <w:r>
        <w:instrText xml:space="preserve">HYPERLINK \l _Toc_4_4_0000000015</w:instrText>
      </w:r>
      <w:r>
        <w:fldChar w:fldCharType="separate"/>
      </w:r>
      <w:r>
        <w:t>12.人民监督员管理工作经费绩效目标表</w:t>
      </w:r>
      <w:r>
        <w:tab/>
      </w:r>
      <w:r>
        <w:fldChar w:fldCharType="begin"/>
      </w:r>
      <w:r>
        <w:instrText xml:space="preserve">PAGEREF _Toc_4_4_0000000015 \h</w:instrText>
      </w:r>
      <w:r>
        <w:fldChar w:fldCharType="separate"/>
      </w:r>
      <w:r>
        <w:t>17</w:t>
      </w:r>
      <w:r>
        <w:fldChar w:fldCharType="end"/>
      </w:r>
      <w:r>
        <w:fldChar w:fldCharType="end"/>
      </w:r>
    </w:p>
    <w:p>
      <w:pPr>
        <w:pStyle w:val="2"/>
        <w:tabs>
          <w:tab w:val="right" w:leader="dot" w:pos="9282"/>
        </w:tabs>
      </w:pPr>
      <w:r>
        <w:fldChar w:fldCharType="begin"/>
      </w:r>
      <w:r>
        <w:instrText xml:space="preserve">HYPERLINK \l _Toc_4_4_0000000016</w:instrText>
      </w:r>
      <w:r>
        <w:fldChar w:fldCharType="separate"/>
      </w:r>
      <w:r>
        <w:t>13.社区矫正业务费绩效目标表</w:t>
      </w:r>
      <w:r>
        <w:tab/>
      </w:r>
      <w:r>
        <w:fldChar w:fldCharType="begin"/>
      </w:r>
      <w:r>
        <w:instrText xml:space="preserve">PAGEREF _Toc_4_4_0000000016 \h</w:instrText>
      </w:r>
      <w:r>
        <w:fldChar w:fldCharType="separate"/>
      </w:r>
      <w:r>
        <w:t>18</w:t>
      </w:r>
      <w:r>
        <w:fldChar w:fldCharType="end"/>
      </w:r>
      <w:r>
        <w:fldChar w:fldCharType="end"/>
      </w:r>
    </w:p>
    <w:p>
      <w:pPr>
        <w:pStyle w:val="2"/>
        <w:tabs>
          <w:tab w:val="right" w:leader="dot" w:pos="9282"/>
        </w:tabs>
      </w:pPr>
      <w:r>
        <w:fldChar w:fldCharType="begin"/>
      </w:r>
      <w:r>
        <w:instrText xml:space="preserve">HYPERLINK \l _Toc_4_4_0000000017</w:instrText>
      </w:r>
      <w:r>
        <w:fldChar w:fldCharType="separate"/>
      </w:r>
      <w:r>
        <w:t>14.市委市政府法律顾问费绩效目标表</w:t>
      </w:r>
      <w:r>
        <w:tab/>
      </w:r>
      <w:r>
        <w:fldChar w:fldCharType="begin"/>
      </w:r>
      <w:r>
        <w:instrText xml:space="preserve">PAGEREF _Toc_4_4_0000000017 \h</w:instrText>
      </w:r>
      <w:r>
        <w:fldChar w:fldCharType="separate"/>
      </w:r>
      <w:r>
        <w:t>19</w:t>
      </w:r>
      <w:r>
        <w:fldChar w:fldCharType="end"/>
      </w:r>
      <w:r>
        <w:fldChar w:fldCharType="end"/>
      </w:r>
    </w:p>
    <w:p>
      <w:pPr>
        <w:pStyle w:val="2"/>
        <w:tabs>
          <w:tab w:val="right" w:leader="dot" w:pos="9282"/>
        </w:tabs>
      </w:pPr>
      <w:r>
        <w:fldChar w:fldCharType="begin"/>
      </w:r>
      <w:r>
        <w:instrText xml:space="preserve">HYPERLINK \l _Toc_4_4_0000000018</w:instrText>
      </w:r>
      <w:r>
        <w:fldChar w:fldCharType="separate"/>
      </w:r>
      <w:r>
        <w:t>15.司法建设行政业务费绩效目标表</w:t>
      </w:r>
      <w:r>
        <w:tab/>
      </w:r>
      <w:r>
        <w:fldChar w:fldCharType="begin"/>
      </w:r>
      <w:r>
        <w:instrText xml:space="preserve">PAGEREF _Toc_4_4_0000000018 \h</w:instrText>
      </w:r>
      <w:r>
        <w:fldChar w:fldCharType="separate"/>
      </w:r>
      <w:r>
        <w:t>20</w:t>
      </w:r>
      <w:r>
        <w:fldChar w:fldCharType="end"/>
      </w:r>
      <w:r>
        <w:fldChar w:fldCharType="end"/>
      </w:r>
    </w:p>
    <w:p>
      <w:pPr>
        <w:pStyle w:val="2"/>
        <w:tabs>
          <w:tab w:val="right" w:leader="dot" w:pos="9282"/>
        </w:tabs>
      </w:pPr>
      <w:r>
        <w:fldChar w:fldCharType="begin"/>
      </w:r>
      <w:r>
        <w:instrText xml:space="preserve">HYPERLINK \l _Toc_4_4_0000000019</w:instrText>
      </w:r>
      <w:r>
        <w:fldChar w:fldCharType="separate"/>
      </w:r>
      <w:r>
        <w:t>16.司法考试支出绩效目标表</w:t>
      </w:r>
      <w:r>
        <w:tab/>
      </w:r>
      <w:r>
        <w:fldChar w:fldCharType="begin"/>
      </w:r>
      <w:r>
        <w:instrText xml:space="preserve">PAGEREF _Toc_4_4_0000000019 \h</w:instrText>
      </w:r>
      <w:r>
        <w:fldChar w:fldCharType="separate"/>
      </w:r>
      <w:r>
        <w:t>21</w:t>
      </w:r>
      <w:r>
        <w:fldChar w:fldCharType="end"/>
      </w:r>
      <w:r>
        <w:fldChar w:fldCharType="end"/>
      </w:r>
    </w:p>
    <w:p>
      <w:pPr>
        <w:pStyle w:val="2"/>
        <w:tabs>
          <w:tab w:val="right" w:leader="dot" w:pos="9282"/>
        </w:tabs>
      </w:pPr>
      <w:r>
        <w:fldChar w:fldCharType="begin"/>
      </w:r>
      <w:r>
        <w:instrText xml:space="preserve">HYPERLINK \l _Toc_4_4_0000000020</w:instrText>
      </w:r>
      <w:r>
        <w:fldChar w:fldCharType="separate"/>
      </w:r>
      <w:r>
        <w:t>17.网络维护费绩效目标表</w:t>
      </w:r>
      <w:r>
        <w:tab/>
      </w:r>
      <w:r>
        <w:fldChar w:fldCharType="begin"/>
      </w:r>
      <w:r>
        <w:instrText xml:space="preserve">PAGEREF _Toc_4_4_0000000020 \h</w:instrText>
      </w:r>
      <w:r>
        <w:fldChar w:fldCharType="separate"/>
      </w:r>
      <w:r>
        <w:t>22</w:t>
      </w:r>
      <w:r>
        <w:fldChar w:fldCharType="end"/>
      </w:r>
      <w:r>
        <w:fldChar w:fldCharType="end"/>
      </w:r>
    </w:p>
    <w:p>
      <w:pPr>
        <w:pStyle w:val="2"/>
        <w:tabs>
          <w:tab w:val="right" w:leader="dot" w:pos="9282"/>
        </w:tabs>
      </w:pPr>
      <w:r>
        <w:fldChar w:fldCharType="begin"/>
      </w:r>
      <w:r>
        <w:instrText xml:space="preserve">HYPERLINK \l _Toc_4_4_0000000021</w:instrText>
      </w:r>
      <w:r>
        <w:fldChar w:fldCharType="separate"/>
      </w:r>
      <w:r>
        <w:t>18.行政复议修缮费及保安保洁费用绩效目标表</w:t>
      </w:r>
      <w:r>
        <w:tab/>
      </w:r>
      <w:r>
        <w:fldChar w:fldCharType="begin"/>
      </w:r>
      <w:r>
        <w:instrText xml:space="preserve">PAGEREF _Toc_4_4_0000000021 \h</w:instrText>
      </w:r>
      <w:r>
        <w:fldChar w:fldCharType="separate"/>
      </w:r>
      <w:r>
        <w:t>23</w:t>
      </w:r>
      <w:r>
        <w:fldChar w:fldCharType="end"/>
      </w:r>
      <w:r>
        <w:fldChar w:fldCharType="end"/>
      </w:r>
    </w:p>
    <w:p>
      <w:pPr>
        <w:pStyle w:val="2"/>
        <w:tabs>
          <w:tab w:val="right" w:leader="dot" w:pos="9282"/>
        </w:tabs>
      </w:pPr>
      <w:r>
        <w:fldChar w:fldCharType="begin"/>
      </w:r>
      <w:r>
        <w:instrText xml:space="preserve">HYPERLINK \l _Toc_4_4_0000000022</w:instrText>
      </w:r>
      <w:r>
        <w:fldChar w:fldCharType="separate"/>
      </w:r>
      <w:r>
        <w:t>19.行政复议业务费绩效目标表</w:t>
      </w:r>
      <w:r>
        <w:tab/>
      </w:r>
      <w:r>
        <w:fldChar w:fldCharType="begin"/>
      </w:r>
      <w:r>
        <w:instrText xml:space="preserve">PAGEREF _Toc_4_4_0000000022 \h</w:instrText>
      </w:r>
      <w:r>
        <w:fldChar w:fldCharType="separate"/>
      </w:r>
      <w:r>
        <w:t>24</w:t>
      </w:r>
      <w:r>
        <w:fldChar w:fldCharType="end"/>
      </w:r>
      <w:r>
        <w:fldChar w:fldCharType="end"/>
      </w:r>
    </w:p>
    <w:p>
      <w:pPr>
        <w:pStyle w:val="2"/>
        <w:tabs>
          <w:tab w:val="right" w:leader="dot" w:pos="9282"/>
        </w:tabs>
      </w:pPr>
      <w:r>
        <w:fldChar w:fldCharType="begin"/>
      </w:r>
      <w:r>
        <w:instrText xml:space="preserve">HYPERLINK \l _Toc_4_4_0000000023</w:instrText>
      </w:r>
      <w:r>
        <w:fldChar w:fldCharType="separate"/>
      </w:r>
      <w:r>
        <w:t>20.行政复议专家咨询委员会经费绩效目标表</w:t>
      </w:r>
      <w:r>
        <w:tab/>
      </w:r>
      <w:r>
        <w:fldChar w:fldCharType="begin"/>
      </w:r>
      <w:r>
        <w:instrText xml:space="preserve">PAGEREF _Toc_4_4_0000000023 \h</w:instrText>
      </w:r>
      <w:r>
        <w:fldChar w:fldCharType="separate"/>
      </w:r>
      <w:r>
        <w:t>25</w:t>
      </w:r>
      <w:r>
        <w:fldChar w:fldCharType="end"/>
      </w:r>
      <w:r>
        <w:fldChar w:fldCharType="end"/>
      </w:r>
    </w:p>
    <w:p>
      <w:pPr>
        <w:pStyle w:val="2"/>
        <w:tabs>
          <w:tab w:val="right" w:leader="dot" w:pos="9282"/>
        </w:tabs>
      </w:pPr>
      <w:r>
        <w:fldChar w:fldCharType="begin"/>
      </w:r>
      <w:r>
        <w:instrText xml:space="preserve">HYPERLINK \l _Toc_4_4_0000000024</w:instrText>
      </w:r>
      <w:r>
        <w:fldChar w:fldCharType="separate"/>
      </w:r>
      <w:r>
        <w:t>21.依法治市专项业务经费绩效目标表</w:t>
      </w:r>
      <w:r>
        <w:tab/>
      </w:r>
      <w:r>
        <w:fldChar w:fldCharType="begin"/>
      </w:r>
      <w:r>
        <w:instrText xml:space="preserve">PAGEREF _Toc_4_4_0000000024 \h</w:instrText>
      </w:r>
      <w:r>
        <w:fldChar w:fldCharType="separate"/>
      </w:r>
      <w:r>
        <w:t>26</w:t>
      </w:r>
      <w:r>
        <w:fldChar w:fldCharType="end"/>
      </w:r>
      <w:r>
        <w:fldChar w:fldCharType="end"/>
      </w:r>
    </w:p>
    <w:p>
      <w:pPr>
        <w:pStyle w:val="2"/>
        <w:tabs>
          <w:tab w:val="right" w:leader="dot" w:pos="9282"/>
        </w:tabs>
      </w:pPr>
      <w:r>
        <w:fldChar w:fldCharType="begin"/>
      </w:r>
      <w:r>
        <w:instrText xml:space="preserve">HYPERLINK \l _Toc_4_4_0000000025</w:instrText>
      </w:r>
      <w:r>
        <w:fldChar w:fldCharType="separate"/>
      </w:r>
      <w:r>
        <w:t>22.执法监督业务经费绩效目标表</w:t>
      </w:r>
      <w:r>
        <w:tab/>
      </w:r>
      <w:r>
        <w:fldChar w:fldCharType="begin"/>
      </w:r>
      <w:r>
        <w:instrText xml:space="preserve">PAGEREF _Toc_4_4_0000000025 \h</w:instrText>
      </w:r>
      <w:r>
        <w:fldChar w:fldCharType="separate"/>
      </w:r>
      <w:r>
        <w:t>27</w:t>
      </w:r>
      <w:r>
        <w:fldChar w:fldCharType="end"/>
      </w:r>
      <w:r>
        <w:fldChar w:fldCharType="end"/>
      </w:r>
    </w:p>
    <w:p>
      <w:pPr>
        <w:pStyle w:val="2"/>
        <w:tabs>
          <w:tab w:val="right" w:leader="dot" w:pos="9282"/>
        </w:tabs>
      </w:pPr>
      <w:r>
        <w:fldChar w:fldCharType="begin"/>
      </w:r>
      <w:r>
        <w:instrText xml:space="preserve">HYPERLINK \l _Toc_4_4_0000000026</w:instrText>
      </w:r>
      <w:r>
        <w:fldChar w:fldCharType="separate"/>
      </w:r>
      <w:r>
        <w:t>23.专家咨询费绩效目标表</w:t>
      </w:r>
      <w:r>
        <w:tab/>
      </w:r>
      <w:r>
        <w:fldChar w:fldCharType="begin"/>
      </w:r>
      <w:r>
        <w:instrText xml:space="preserve">PAGEREF _Toc_4_4_0000000026 \h</w:instrText>
      </w:r>
      <w:r>
        <w:fldChar w:fldCharType="separate"/>
      </w:r>
      <w:r>
        <w:t>28</w:t>
      </w:r>
      <w:r>
        <w:fldChar w:fldCharType="end"/>
      </w:r>
      <w:r>
        <w:fldChar w:fldCharType="end"/>
      </w:r>
    </w:p>
    <w:p>
      <w:pPr>
        <w:pStyle w:val="2"/>
        <w:tabs>
          <w:tab w:val="right" w:leader="dot" w:pos="9282"/>
        </w:tabs>
      </w:pPr>
      <w:r>
        <w:fldChar w:fldCharType="begin"/>
      </w:r>
      <w:r>
        <w:instrText xml:space="preserve">HYPERLINK \l _Toc_4_4_0000000027</w:instrText>
      </w:r>
      <w:r>
        <w:fldChar w:fldCharType="separate"/>
      </w:r>
      <w:r>
        <w:t>24.法律援助案件补贴项目绩效目标表</w:t>
      </w:r>
      <w:r>
        <w:tab/>
      </w:r>
      <w:r>
        <w:fldChar w:fldCharType="begin"/>
      </w:r>
      <w:r>
        <w:instrText xml:space="preserve">PAGEREF _Toc_4_4_0000000027 \h</w:instrText>
      </w:r>
      <w:r>
        <w:fldChar w:fldCharType="separate"/>
      </w:r>
      <w:r>
        <w:t>29</w:t>
      </w:r>
      <w:r>
        <w:fldChar w:fldCharType="end"/>
      </w:r>
      <w:r>
        <w:fldChar w:fldCharType="end"/>
      </w:r>
    </w:p>
    <w:p>
      <w:pPr>
        <w:pStyle w:val="2"/>
        <w:tabs>
          <w:tab w:val="right" w:leader="dot" w:pos="9282"/>
        </w:tabs>
      </w:pPr>
      <w:r>
        <w:fldChar w:fldCharType="begin"/>
      </w:r>
      <w:r>
        <w:instrText xml:space="preserve">HYPERLINK \l _Toc_4_4_0000000028</w:instrText>
      </w:r>
      <w:r>
        <w:fldChar w:fldCharType="separate"/>
      </w:r>
      <w:r>
        <w:t>25.市司法局2025省级基层转移支付资绩效目标表</w:t>
      </w:r>
      <w:r>
        <w:tab/>
      </w:r>
      <w:r>
        <w:fldChar w:fldCharType="begin"/>
      </w:r>
      <w:r>
        <w:instrText xml:space="preserve">PAGEREF _Toc_4_4_0000000028 \h</w:instrText>
      </w:r>
      <w:r>
        <w:fldChar w:fldCharType="separate"/>
      </w:r>
      <w:r>
        <w:t>30</w:t>
      </w:r>
      <w:r>
        <w:fldChar w:fldCharType="end"/>
      </w:r>
      <w:r>
        <w:fldChar w:fldCharType="end"/>
      </w:r>
    </w:p>
    <w:p>
      <w:pPr>
        <w:pStyle w:val="2"/>
        <w:tabs>
          <w:tab w:val="right" w:leader="dot" w:pos="9282"/>
        </w:tabs>
      </w:pPr>
      <w:r>
        <w:fldChar w:fldCharType="begin"/>
      </w:r>
      <w:r>
        <w:instrText xml:space="preserve">HYPERLINK \l _Toc_4_4_0000000029</w:instrText>
      </w:r>
      <w:r>
        <w:fldChar w:fldCharType="separate"/>
      </w:r>
      <w:r>
        <w:t>26.唐山市司法局2026年第一批中央政法转移支付资金（装备购置）绩效目标表</w:t>
      </w:r>
      <w:r>
        <w:tab/>
      </w:r>
      <w:r>
        <w:fldChar w:fldCharType="begin"/>
      </w:r>
      <w:r>
        <w:instrText xml:space="preserve">PAGEREF _Toc_4_4_0000000029 \h</w:instrText>
      </w:r>
      <w:r>
        <w:fldChar w:fldCharType="separate"/>
      </w:r>
      <w:r>
        <w:t>31</w:t>
      </w:r>
      <w:r>
        <w:fldChar w:fldCharType="end"/>
      </w:r>
      <w:r>
        <w:fldChar w:fldCharType="end"/>
      </w:r>
    </w:p>
    <w:p>
      <w:pPr>
        <w:pStyle w:val="2"/>
        <w:tabs>
          <w:tab w:val="right" w:leader="dot" w:pos="9282"/>
        </w:tabs>
      </w:pPr>
      <w:r>
        <w:fldChar w:fldCharType="begin"/>
      </w:r>
      <w:r>
        <w:instrText xml:space="preserve">HYPERLINK \l _Toc_4_4_0000000030</w:instrText>
      </w:r>
      <w:r>
        <w:fldChar w:fldCharType="separate"/>
      </w:r>
      <w:r>
        <w:t>27.唐山市司法局2026年第一批中央转移支付资金（办案业务费）绩效目标表</w:t>
      </w:r>
      <w:r>
        <w:tab/>
      </w:r>
      <w:r>
        <w:fldChar w:fldCharType="begin"/>
      </w:r>
      <w:r>
        <w:instrText xml:space="preserve">PAGEREF _Toc_4_4_0000000030 \h</w:instrText>
      </w:r>
      <w:r>
        <w:fldChar w:fldCharType="separate"/>
      </w:r>
      <w:r>
        <w:t>32</w:t>
      </w:r>
      <w:r>
        <w:fldChar w:fldCharType="end"/>
      </w:r>
      <w:r>
        <w:fldChar w:fldCharType="end"/>
      </w:r>
    </w:p>
    <w:p>
      <w:pPr>
        <w:pStyle w:val="2"/>
        <w:tabs>
          <w:tab w:val="right" w:leader="dot" w:pos="9282"/>
        </w:tabs>
      </w:pPr>
      <w:r>
        <w:fldChar w:fldCharType="begin"/>
      </w:r>
      <w:r>
        <w:instrText xml:space="preserve">HYPERLINK \l _Toc_4_4_0000000031</w:instrText>
      </w:r>
      <w:r>
        <w:fldChar w:fldCharType="separate"/>
      </w:r>
      <w:r>
        <w:t>28.唐山市司法局2026年省级基层转移支付资金绩效目标表</w:t>
      </w:r>
      <w:r>
        <w:tab/>
      </w:r>
      <w:r>
        <w:fldChar w:fldCharType="begin"/>
      </w:r>
      <w:r>
        <w:instrText xml:space="preserve">PAGEREF _Toc_4_4_0000000031 \h</w:instrText>
      </w:r>
      <w:r>
        <w:fldChar w:fldCharType="separate"/>
      </w:r>
      <w:r>
        <w:t>33</w:t>
      </w:r>
      <w:r>
        <w:fldChar w:fldCharType="end"/>
      </w:r>
      <w:r>
        <w:fldChar w:fldCharType="end"/>
      </w:r>
    </w:p>
    <w:p>
      <w:pPr>
        <w:pStyle w:val="2"/>
        <w:tabs>
          <w:tab w:val="right" w:leader="dot" w:pos="9282"/>
        </w:tabs>
      </w:pPr>
      <w:r>
        <w:fldChar w:fldCharType="begin"/>
      </w:r>
      <w:r>
        <w:instrText xml:space="preserve">HYPERLINK \l _Toc_4_4_0000000032</w:instrText>
      </w:r>
      <w:r>
        <w:fldChar w:fldCharType="separate"/>
      </w:r>
      <w:r>
        <w:t>29.信访案件鉴定审核专项经费绩效目标表</w:t>
      </w:r>
      <w:r>
        <w:tab/>
      </w:r>
      <w:r>
        <w:fldChar w:fldCharType="begin"/>
      </w:r>
      <w:r>
        <w:instrText xml:space="preserve">PAGEREF _Toc_4_4_0000000032 \h</w:instrText>
      </w:r>
      <w:r>
        <w:fldChar w:fldCharType="separate"/>
      </w:r>
      <w:r>
        <w:t>34</w:t>
      </w:r>
      <w:r>
        <w:fldChar w:fldCharType="end"/>
      </w:r>
      <w:r>
        <w:fldChar w:fldCharType="end"/>
      </w:r>
    </w:p>
    <w:p>
      <w:pPr>
        <w:pStyle w:val="2"/>
        <w:tabs>
          <w:tab w:val="right" w:leader="dot" w:pos="9282"/>
        </w:tabs>
      </w:pPr>
      <w:r>
        <w:fldChar w:fldCharType="begin"/>
      </w:r>
      <w:r>
        <w:instrText xml:space="preserve">HYPERLINK \l _Toc_4_4_0000000033</w:instrText>
      </w:r>
      <w:r>
        <w:fldChar w:fldCharType="separate"/>
      </w:r>
      <w:r>
        <w:t>30.安防设施设备维护保养费绩效目标表</w:t>
      </w:r>
      <w:r>
        <w:tab/>
      </w:r>
      <w:r>
        <w:fldChar w:fldCharType="begin"/>
      </w:r>
      <w:r>
        <w:instrText xml:space="preserve">PAGEREF _Toc_4_4_0000000033 \h</w:instrText>
      </w:r>
      <w:r>
        <w:fldChar w:fldCharType="separate"/>
      </w:r>
      <w:r>
        <w:t>35</w:t>
      </w:r>
      <w:r>
        <w:fldChar w:fldCharType="end"/>
      </w:r>
      <w:r>
        <w:fldChar w:fldCharType="end"/>
      </w:r>
    </w:p>
    <w:p>
      <w:pPr>
        <w:pStyle w:val="2"/>
        <w:tabs>
          <w:tab w:val="right" w:leader="dot" w:pos="9282"/>
        </w:tabs>
      </w:pPr>
      <w:r>
        <w:fldChar w:fldCharType="begin"/>
      </w:r>
      <w:r>
        <w:instrText xml:space="preserve">HYPERLINK \l _Toc_4_4_0000000034</w:instrText>
      </w:r>
      <w:r>
        <w:fldChar w:fldCharType="separate"/>
      </w:r>
      <w:r>
        <w:t>31.材料制作费绩效目标表</w:t>
      </w:r>
      <w:r>
        <w:tab/>
      </w:r>
      <w:r>
        <w:fldChar w:fldCharType="begin"/>
      </w:r>
      <w:r>
        <w:instrText xml:space="preserve">PAGEREF _Toc_4_4_0000000034 \h</w:instrText>
      </w:r>
      <w:r>
        <w:fldChar w:fldCharType="separate"/>
      </w:r>
      <w:r>
        <w:t>36</w:t>
      </w:r>
      <w:r>
        <w:fldChar w:fldCharType="end"/>
      </w:r>
      <w:r>
        <w:fldChar w:fldCharType="end"/>
      </w:r>
    </w:p>
    <w:p>
      <w:pPr>
        <w:pStyle w:val="2"/>
        <w:tabs>
          <w:tab w:val="right" w:leader="dot" w:pos="9282"/>
        </w:tabs>
      </w:pPr>
      <w:r>
        <w:fldChar w:fldCharType="begin"/>
      </w:r>
      <w:r>
        <w:instrText xml:space="preserve">HYPERLINK \l _Toc_4_4_0000000035</w:instrText>
      </w:r>
      <w:r>
        <w:fldChar w:fldCharType="separate"/>
      </w:r>
      <w:r>
        <w:t>32.房产权属登记费绩效目标表</w:t>
      </w:r>
      <w:r>
        <w:tab/>
      </w:r>
      <w:r>
        <w:fldChar w:fldCharType="begin"/>
      </w:r>
      <w:r>
        <w:instrText xml:space="preserve">PAGEREF _Toc_4_4_0000000035 \h</w:instrText>
      </w:r>
      <w:r>
        <w:fldChar w:fldCharType="separate"/>
      </w:r>
      <w:r>
        <w:t>37</w:t>
      </w:r>
      <w:r>
        <w:fldChar w:fldCharType="end"/>
      </w:r>
      <w:r>
        <w:fldChar w:fldCharType="end"/>
      </w:r>
    </w:p>
    <w:p>
      <w:pPr>
        <w:pStyle w:val="2"/>
        <w:tabs>
          <w:tab w:val="right" w:leader="dot" w:pos="9282"/>
        </w:tabs>
      </w:pPr>
      <w:r>
        <w:fldChar w:fldCharType="begin"/>
      </w:r>
      <w:r>
        <w:instrText xml:space="preserve">HYPERLINK \l _Toc_4_4_0000000036</w:instrText>
      </w:r>
      <w:r>
        <w:fldChar w:fldCharType="separate"/>
      </w:r>
      <w:r>
        <w:t>33.干警服装款绩效目标表</w:t>
      </w:r>
      <w:r>
        <w:tab/>
      </w:r>
      <w:r>
        <w:fldChar w:fldCharType="begin"/>
      </w:r>
      <w:r>
        <w:instrText xml:space="preserve">PAGEREF _Toc_4_4_0000000036 \h</w:instrText>
      </w:r>
      <w:r>
        <w:fldChar w:fldCharType="separate"/>
      </w:r>
      <w:r>
        <w:t>38</w:t>
      </w:r>
      <w:r>
        <w:fldChar w:fldCharType="end"/>
      </w:r>
      <w:r>
        <w:fldChar w:fldCharType="end"/>
      </w:r>
    </w:p>
    <w:p>
      <w:pPr>
        <w:pStyle w:val="2"/>
        <w:tabs>
          <w:tab w:val="right" w:leader="dot" w:pos="9282"/>
        </w:tabs>
      </w:pPr>
      <w:r>
        <w:fldChar w:fldCharType="begin"/>
      </w:r>
      <w:r>
        <w:instrText xml:space="preserve">HYPERLINK \l _Toc_4_4_0000000037</w:instrText>
      </w:r>
      <w:r>
        <w:fldChar w:fldCharType="separate"/>
      </w:r>
      <w:r>
        <w:t>34.警犬生活及训练经费绩效目标表</w:t>
      </w:r>
      <w:r>
        <w:tab/>
      </w:r>
      <w:r>
        <w:fldChar w:fldCharType="begin"/>
      </w:r>
      <w:r>
        <w:instrText xml:space="preserve">PAGEREF _Toc_4_4_0000000037 \h</w:instrText>
      </w:r>
      <w:r>
        <w:fldChar w:fldCharType="separate"/>
      </w:r>
      <w:r>
        <w:t>39</w:t>
      </w:r>
      <w:r>
        <w:fldChar w:fldCharType="end"/>
      </w:r>
      <w:r>
        <w:fldChar w:fldCharType="end"/>
      </w:r>
    </w:p>
    <w:p>
      <w:pPr>
        <w:pStyle w:val="2"/>
        <w:tabs>
          <w:tab w:val="right" w:leader="dot" w:pos="9282"/>
        </w:tabs>
      </w:pPr>
      <w:r>
        <w:fldChar w:fldCharType="begin"/>
      </w:r>
      <w:r>
        <w:instrText xml:space="preserve">HYPERLINK \l _Toc_4_4_0000000038</w:instrText>
      </w:r>
      <w:r>
        <w:fldChar w:fldCharType="separate"/>
      </w:r>
      <w:r>
        <w:t>35.劳务派遣人员经费绩效目标表</w:t>
      </w:r>
      <w:r>
        <w:tab/>
      </w:r>
      <w:r>
        <w:fldChar w:fldCharType="begin"/>
      </w:r>
      <w:r>
        <w:instrText xml:space="preserve">PAGEREF _Toc_4_4_0000000038 \h</w:instrText>
      </w:r>
      <w:r>
        <w:fldChar w:fldCharType="separate"/>
      </w:r>
      <w:r>
        <w:t>40</w:t>
      </w:r>
      <w:r>
        <w:fldChar w:fldCharType="end"/>
      </w:r>
      <w:r>
        <w:fldChar w:fldCharType="end"/>
      </w:r>
    </w:p>
    <w:p>
      <w:pPr>
        <w:pStyle w:val="2"/>
        <w:tabs>
          <w:tab w:val="right" w:leader="dot" w:pos="9282"/>
        </w:tabs>
      </w:pPr>
      <w:r>
        <w:fldChar w:fldCharType="begin"/>
      </w:r>
      <w:r>
        <w:instrText xml:space="preserve">HYPERLINK \l _Toc_4_4_0000000039</w:instrText>
      </w:r>
      <w:r>
        <w:fldChar w:fldCharType="separate"/>
      </w:r>
      <w:r>
        <w:t>36.设施改造绩效目标表</w:t>
      </w:r>
      <w:r>
        <w:tab/>
      </w:r>
      <w:r>
        <w:fldChar w:fldCharType="begin"/>
      </w:r>
      <w:r>
        <w:instrText xml:space="preserve">PAGEREF _Toc_4_4_0000000039 \h</w:instrText>
      </w:r>
      <w:r>
        <w:fldChar w:fldCharType="separate"/>
      </w:r>
      <w:r>
        <w:t>41</w:t>
      </w:r>
      <w:r>
        <w:fldChar w:fldCharType="end"/>
      </w:r>
      <w:r>
        <w:fldChar w:fldCharType="end"/>
      </w:r>
    </w:p>
    <w:p>
      <w:pPr>
        <w:pStyle w:val="2"/>
        <w:tabs>
          <w:tab w:val="right" w:leader="dot" w:pos="9282"/>
        </w:tabs>
      </w:pPr>
      <w:r>
        <w:fldChar w:fldCharType="begin"/>
      </w:r>
      <w:r>
        <w:instrText xml:space="preserve">HYPERLINK \l _Toc_4_4_0000000040</w:instrText>
      </w:r>
      <w:r>
        <w:fldChar w:fldCharType="separate"/>
      </w:r>
      <w:r>
        <w:t>37.太阳能热水设备维护费绩效目标表</w:t>
      </w:r>
      <w:r>
        <w:tab/>
      </w:r>
      <w:r>
        <w:fldChar w:fldCharType="begin"/>
      </w:r>
      <w:r>
        <w:instrText xml:space="preserve">PAGEREF _Toc_4_4_0000000040 \h</w:instrText>
      </w:r>
      <w:r>
        <w:fldChar w:fldCharType="separate"/>
      </w:r>
      <w:r>
        <w:t>42</w:t>
      </w:r>
      <w:r>
        <w:fldChar w:fldCharType="end"/>
      </w:r>
      <w:r>
        <w:fldChar w:fldCharType="end"/>
      </w:r>
    </w:p>
    <w:p>
      <w:pPr>
        <w:pStyle w:val="2"/>
        <w:tabs>
          <w:tab w:val="right" w:leader="dot" w:pos="9282"/>
        </w:tabs>
      </w:pPr>
      <w:r>
        <w:fldChar w:fldCharType="begin"/>
      </w:r>
      <w:r>
        <w:instrText xml:space="preserve">HYPERLINK \l _Toc_4_4_0000000041</w:instrText>
      </w:r>
      <w:r>
        <w:fldChar w:fldCharType="separate"/>
      </w:r>
      <w:r>
        <w:t>38.特别抚恤金绩效目标表</w:t>
      </w:r>
      <w:r>
        <w:tab/>
      </w:r>
      <w:r>
        <w:fldChar w:fldCharType="begin"/>
      </w:r>
      <w:r>
        <w:instrText xml:space="preserve">PAGEREF _Toc_4_4_0000000041 \h</w:instrText>
      </w:r>
      <w:r>
        <w:fldChar w:fldCharType="separate"/>
      </w:r>
      <w:r>
        <w:t>43</w:t>
      </w:r>
      <w:r>
        <w:fldChar w:fldCharType="end"/>
      </w:r>
      <w:r>
        <w:fldChar w:fldCharType="end"/>
      </w:r>
    </w:p>
    <w:p>
      <w:pPr>
        <w:pStyle w:val="2"/>
        <w:tabs>
          <w:tab w:val="right" w:leader="dot" w:pos="9282"/>
        </w:tabs>
      </w:pPr>
      <w:r>
        <w:fldChar w:fldCharType="begin"/>
      </w:r>
      <w:r>
        <w:instrText xml:space="preserve">HYPERLINK \l _Toc_4_4_0000000042</w:instrText>
      </w:r>
      <w:r>
        <w:fldChar w:fldCharType="separate"/>
      </w:r>
      <w:r>
        <w:t>39.网络租赁费绩效目标表</w:t>
      </w:r>
      <w:r>
        <w:tab/>
      </w:r>
      <w:r>
        <w:fldChar w:fldCharType="begin"/>
      </w:r>
      <w:r>
        <w:instrText xml:space="preserve">PAGEREF _Toc_4_4_0000000042 \h</w:instrText>
      </w:r>
      <w:r>
        <w:fldChar w:fldCharType="separate"/>
      </w:r>
      <w:r>
        <w:t>44</w:t>
      </w:r>
      <w:r>
        <w:fldChar w:fldCharType="end"/>
      </w:r>
      <w:r>
        <w:fldChar w:fldCharType="end"/>
      </w:r>
    </w:p>
    <w:p>
      <w:pPr>
        <w:pStyle w:val="2"/>
        <w:tabs>
          <w:tab w:val="right" w:leader="dot" w:pos="9282"/>
        </w:tabs>
      </w:pPr>
      <w:r>
        <w:fldChar w:fldCharType="begin"/>
      </w:r>
      <w:r>
        <w:instrText xml:space="preserve">HYPERLINK \l _Toc_4_4_0000000043</w:instrText>
      </w:r>
      <w:r>
        <w:fldChar w:fldCharType="separate"/>
      </w:r>
      <w:r>
        <w:t>40.强制隔离戒毒所提升改造项目绩效目标表</w:t>
      </w:r>
      <w:r>
        <w:tab/>
      </w:r>
      <w:r>
        <w:fldChar w:fldCharType="begin"/>
      </w:r>
      <w:r>
        <w:instrText xml:space="preserve">PAGEREF _Toc_4_4_0000000043 \h</w:instrText>
      </w:r>
      <w:r>
        <w:fldChar w:fldCharType="separate"/>
      </w:r>
      <w:r>
        <w:t>45</w:t>
      </w:r>
      <w:r>
        <w:fldChar w:fldCharType="end"/>
      </w:r>
      <w:r>
        <w:fldChar w:fldCharType="end"/>
      </w:r>
    </w:p>
    <w:p>
      <w:pPr>
        <w:pStyle w:val="2"/>
        <w:tabs>
          <w:tab w:val="right" w:leader="dot" w:pos="9282"/>
        </w:tabs>
      </w:pPr>
      <w:r>
        <w:fldChar w:fldCharType="begin"/>
      </w:r>
      <w:r>
        <w:instrText xml:space="preserve">HYPERLINK \l _Toc_4_4_0000000044</w:instrText>
      </w:r>
      <w:r>
        <w:fldChar w:fldCharType="separate"/>
      </w:r>
      <w:r>
        <w:t>41.公用经费绩效目标表</w:t>
      </w:r>
      <w:r>
        <w:tab/>
      </w:r>
      <w:r>
        <w:fldChar w:fldCharType="begin"/>
      </w:r>
      <w:r>
        <w:instrText xml:space="preserve">PAGEREF _Toc_4_4_0000000044 \h</w:instrText>
      </w:r>
      <w:r>
        <w:fldChar w:fldCharType="separate"/>
      </w:r>
      <w:r>
        <w:t>46</w:t>
      </w:r>
      <w:r>
        <w:fldChar w:fldCharType="end"/>
      </w:r>
      <w:r>
        <w:fldChar w:fldCharType="end"/>
      </w:r>
    </w:p>
    <w:p>
      <w:pPr>
        <w:pStyle w:val="2"/>
        <w:tabs>
          <w:tab w:val="right" w:leader="dot" w:pos="9282"/>
        </w:tabs>
      </w:pPr>
      <w:r>
        <w:fldChar w:fldCharType="begin"/>
      </w:r>
      <w:r>
        <w:instrText xml:space="preserve">HYPERLINK \l _Toc_4_4_0000000045</w:instrText>
      </w:r>
      <w:r>
        <w:fldChar w:fldCharType="separate"/>
      </w:r>
      <w:r>
        <w:t>42.后勤保障经费绩效目标表</w:t>
      </w:r>
      <w:r>
        <w:tab/>
      </w:r>
      <w:r>
        <w:fldChar w:fldCharType="begin"/>
      </w:r>
      <w:r>
        <w:instrText xml:space="preserve">PAGEREF _Toc_4_4_0000000045 \h</w:instrText>
      </w:r>
      <w:r>
        <w:fldChar w:fldCharType="separate"/>
      </w:r>
      <w:r>
        <w:t>47</w:t>
      </w:r>
      <w:r>
        <w:fldChar w:fldCharType="end"/>
      </w:r>
      <w:r>
        <w:fldChar w:fldCharType="end"/>
      </w:r>
    </w:p>
    <w:p>
      <w:pPr>
        <w:pStyle w:val="2"/>
        <w:tabs>
          <w:tab w:val="right" w:leader="dot" w:pos="9282"/>
        </w:tabs>
      </w:pPr>
      <w:r>
        <w:fldChar w:fldCharType="begin"/>
      </w:r>
      <w:r>
        <w:instrText xml:space="preserve">HYPERLINK \l _Toc_4_4_0000000046</w:instrText>
      </w:r>
      <w:r>
        <w:fldChar w:fldCharType="separate"/>
      </w:r>
      <w:r>
        <w:t>43.学生经费绩效目标表</w:t>
      </w:r>
      <w:r>
        <w:tab/>
      </w:r>
      <w:r>
        <w:fldChar w:fldCharType="begin"/>
      </w:r>
      <w:r>
        <w:instrText xml:space="preserve">PAGEREF _Toc_4_4_0000000046 \h</w:instrText>
      </w:r>
      <w:r>
        <w:fldChar w:fldCharType="separate"/>
      </w:r>
      <w:r>
        <w:t>49</w:t>
      </w:r>
      <w:r>
        <w:fldChar w:fldCharType="end"/>
      </w:r>
      <w:r>
        <w:fldChar w:fldCharType="end"/>
      </w:r>
    </w:p>
    <w:p>
      <w:pPr>
        <w:pStyle w:val="2"/>
        <w:tabs>
          <w:tab w:val="right" w:leader="dot" w:pos="9282"/>
        </w:tabs>
      </w:pPr>
      <w:r>
        <w:fldChar w:fldCharType="begin"/>
      </w:r>
      <w:r>
        <w:instrText xml:space="preserve">HYPERLINK \l _Toc_4_4_0000000047</w:instrText>
      </w:r>
      <w:r>
        <w:fldChar w:fldCharType="separate"/>
      </w:r>
      <w:r>
        <w:t>44.启明学校专项教育经费绩效目标表</w:t>
      </w:r>
      <w:r>
        <w:tab/>
      </w:r>
      <w:r>
        <w:fldChar w:fldCharType="begin"/>
      </w:r>
      <w:r>
        <w:instrText xml:space="preserve">PAGEREF _Toc_4_4_0000000047 \h</w:instrText>
      </w:r>
      <w:r>
        <w:fldChar w:fldCharType="separate"/>
      </w:r>
      <w:r>
        <w:t>52</w:t>
      </w:r>
      <w:r>
        <w:fldChar w:fldCharType="end"/>
      </w:r>
      <w:r>
        <w:fldChar w:fldCharType="end"/>
      </w:r>
    </w:p>
    <w:p>
      <w:r>
        <w:fldChar w:fldCharType="end"/>
      </w:r>
    </w:p>
    <w:p>
      <w:pPr>
        <w:sectPr>
          <w:footerReference r:id="rId3" w:type="default"/>
          <w:footerReference r:id="rId4" w:type="even"/>
          <w:pgSz w:w="11900" w:h="16840"/>
          <w:pgMar w:top="1984" w:right="1304" w:bottom="1134" w:left="1304" w:header="720" w:footer="720" w:gutter="0"/>
          <w:pgNumType w:start="1"/>
        </w:sectPr>
      </w:pPr>
      <w:r>
        <w:br w:type="page"/>
      </w:r>
      <w:r>
        <w:br w:type="textWrapping"/>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第一部分</w:t>
      </w:r>
    </w:p>
    <w:p>
      <w:pPr>
        <w:spacing w:before="0" w:after="0" w:line="240" w:lineRule="auto"/>
        <w:ind w:firstLine="0"/>
        <w:jc w:val="center"/>
        <w:outlineLvl w:val="0"/>
      </w:pPr>
      <w:r>
        <w:rPr>
          <w:rFonts w:ascii="方正小标宋_GBK" w:hAnsi="方正小标宋_GBK" w:eastAsia="方正小标宋_GBK" w:cs="方正小标宋_GBK"/>
          <w:color w:val="000000"/>
          <w:sz w:val="44"/>
        </w:rPr>
        <w:t>部门整体绩效目标</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10" w:after="10"/>
        <w:ind w:firstLine="560"/>
        <w:jc w:val="left"/>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8"/>
      </w:pPr>
      <w:r>
        <w:t>为全面履行新时代司法行政职能，服务保障中国式现代化唐山法治建设，唐山市司法局以“提质增效、争先创优”为导向，坚持统筹发展与安全，以法治建设为主线，坚决落实上级政府和部门关于司法行政工作的决策部署，深化法治政府建设示范创建，推动“扫码入企”等执法监督机制提质扩面，促进行政执法规范化水平整体提升；加强重点人群服务管理，确保社区矫正对象再犯罪率低于控制标准；扩大法律援助覆盖范围，确保符合条件公民应援尽援，深化普法精准施策，启动“九五”普法规划调研；提升严重不良行为未成年人专门矫治教育的科学化、个性化水平，加强禁毒戒毒宣传效能评估，提升公众防毒拒毒能力；加强司法行政队伍专业化建设，干警违法违纪案件数持续下降；推动信息化与业务深度融合，基层司法所规范化建设水平得到新加强，不断强化推动行政立法、行政执法、刑事执行、公共法律服务等职能协同高效，努力实现司法行政工作质量、效率、公信力全面提升，为全市高质量发展提供坚实的法治保障和稳定的社会环境。</w:t>
      </w:r>
    </w:p>
    <w:p>
      <w:pPr>
        <w:spacing w:before="10" w:after="10"/>
        <w:ind w:firstLine="560"/>
        <w:jc w:val="left"/>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9"/>
      </w:pPr>
      <w:r>
        <w:t>(一）规范“12348”法律服务热线平台建设工作</w:t>
      </w:r>
    </w:p>
    <w:p>
      <w:pPr>
        <w:pStyle w:val="9"/>
      </w:pPr>
      <w:r>
        <w:t>绩效目标：通过重点推进12348智能语音终端的畅通，优化运行机制、升级技术系统、强化质量管理，将12348热线建设成为响应迅速、服务专业、运行稳定的一站式公共法律服务前端窗口，提高群众法治获得感与满意度。</w:t>
      </w:r>
    </w:p>
    <w:p>
      <w:pPr>
        <w:pStyle w:val="9"/>
      </w:pPr>
      <w:r>
        <w:t>绩效指标：保障12348热线及时接通率在95%以上，通过电话回访满意度调查形式，受益群众满意度在90%以上。</w:t>
      </w:r>
    </w:p>
    <w:p>
      <w:pPr>
        <w:pStyle w:val="9"/>
      </w:pPr>
      <w:r>
        <w:t>(二）推进法治政府建设工作</w:t>
      </w:r>
    </w:p>
    <w:p>
      <w:pPr>
        <w:pStyle w:val="9"/>
      </w:pPr>
      <w:r>
        <w:t>绩效目标：发挥司法行政部门的统筹协调、指导监督职能，推动全市各级行政机关依法行政水平显著提升，确保年度法治政府建设各项任务落地见效，为全市高质量发展营造更加公开透明、公平高效的法治化营商环境。</w:t>
      </w:r>
    </w:p>
    <w:p>
      <w:pPr>
        <w:pStyle w:val="9"/>
      </w:pPr>
      <w:r>
        <w:t>绩效指标：唐山市本级政府规范性文件审核率保证100%；涉企政策征求意见反馈率达到95%以上，推动涉企政策在制定前充分听取市场主体意见，并反馈采纳情况。</w:t>
      </w:r>
    </w:p>
    <w:p>
      <w:pPr>
        <w:pStyle w:val="9"/>
      </w:pPr>
      <w:r>
        <w:t>(三） 加强对刑满释放人员过渡性安置工作</w:t>
      </w:r>
    </w:p>
    <w:p>
      <w:pPr>
        <w:pStyle w:val="9"/>
      </w:pPr>
      <w:r>
        <w:t>绩效目标：围绕对刑满释放人员安全衔接、有效帮扶、顺利融入、预防再犯的核心目的，对刑满释放人员进行指标考核。</w:t>
      </w:r>
    </w:p>
    <w:p>
      <w:pPr>
        <w:pStyle w:val="9"/>
      </w:pPr>
      <w:r>
        <w:t>绩效指标：对“无家可归、无亲可投、无业可就”等重点人员，司法所派人接回的必接率达到100%；基本信息建档率达到100%。</w:t>
      </w:r>
    </w:p>
    <w:p>
      <w:pPr>
        <w:pStyle w:val="9"/>
      </w:pPr>
      <w:r>
        <w:t>(四）加强对禁毒、戒毒知识的宣传工作</w:t>
      </w:r>
    </w:p>
    <w:p>
      <w:pPr>
        <w:pStyle w:val="9"/>
      </w:pPr>
      <w:r>
        <w:t>绩效目标：提升全民特别是青少年识毒、防毒、拒毒的意识和能力，营造全社会参与禁毒的浓厚氛围，从源头上减少毒品需求和危害，提升社会认知率。</w:t>
      </w:r>
    </w:p>
    <w:p>
      <w:pPr>
        <w:pStyle w:val="9"/>
      </w:pPr>
      <w:r>
        <w:t>绩效指标：开展线下宣传不少于5场；打造至少一个有影响力的融媒体宣传品牌或互动项目。</w:t>
      </w:r>
    </w:p>
    <w:p>
      <w:pPr>
        <w:pStyle w:val="9"/>
      </w:pPr>
      <w:r>
        <w:t>(五）提升严重不良行为未成年人专门矫治教育能力工作</w:t>
      </w:r>
    </w:p>
    <w:p>
      <w:pPr>
        <w:pStyle w:val="9"/>
      </w:pPr>
      <w:r>
        <w:t>绩效目标：构建科学评估、精准干预、有效转衔的专门矫治教育体系，提升教育矫治的专业化、个别化水平，切实转化学生行为，预防重新违法犯罪，促进其顺利回归社会。</w:t>
      </w:r>
    </w:p>
    <w:p>
      <w:pPr>
        <w:pStyle w:val="9"/>
      </w:pPr>
      <w:r>
        <w:t>绩效指标：学生接受专业心理干预覆盖率达到100%；着力将矫治教育结业后1年内的再犯率控制在10%以下。</w:t>
      </w:r>
    </w:p>
    <w:p>
      <w:pPr>
        <w:spacing w:before="10" w:after="10"/>
        <w:ind w:firstLine="560"/>
        <w:jc w:val="left"/>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10"/>
      </w:pPr>
      <w:r>
        <w:t>1. 通过全面建成乡镇（街道）公共法律服务中心，调整、做好法律援助、法律咨询、人民调解、普法宣传、综合服务、政务监督、舆情分析等服务。</w:t>
      </w:r>
    </w:p>
    <w:p>
      <w:pPr>
        <w:pStyle w:val="10"/>
      </w:pPr>
      <w:r>
        <w:t>2. 规范“12348”法律服务热线平台建设。通过重点推进12348智能语音终端的畅通，提高群众满意度。</w:t>
      </w:r>
    </w:p>
    <w:p>
      <w:pPr>
        <w:pStyle w:val="10"/>
      </w:pPr>
      <w:r>
        <w:t>3.组建法律服务联盟或专业法律服务团队，引导律师、公证员、基层法律服务工作者等打造高水平法律服务智库。</w:t>
      </w:r>
    </w:p>
    <w:p>
      <w:pPr>
        <w:pStyle w:val="10"/>
      </w:pPr>
      <w:r>
        <w:t>4.大力发展专职律师、两公律师，律师数量要保持不低于10%的增长速度。</w:t>
      </w:r>
    </w:p>
    <w:p>
      <w:pPr>
        <w:pStyle w:val="10"/>
      </w:pPr>
      <w:r>
        <w:t>5.进一步扩大民事、行政法律援助覆盖面，应援尽援，全年办案量同比增长10%。建立案件回访制度，继续完善法院、看守所法律援助工作站的建设。</w:t>
      </w:r>
    </w:p>
    <w:p>
      <w:pPr>
        <w:pStyle w:val="10"/>
      </w:pPr>
      <w:r>
        <w:t xml:space="preserve">6.贯彻落实《中华人民共和国社区矫正法》，持续做好社区矫正和安置帮教安全管控。做好过渡性安置帮教工作。推动警力继续向一线下沉，加强对戒毒人员的教育戒治、戒毒医疗、康复训练等工作。         </w:t>
      </w:r>
    </w:p>
    <w:p>
      <w:pPr>
        <w:pStyle w:val="10"/>
      </w:pPr>
      <w:r>
        <w:t>7.结合已出台的《法治唐山建设规划（2023—2027年）》《唐山市法治社会建设实施方案（2023—2027年）》年度重点任务，牵头抓好《规划》《方案》贯彻落实。</w:t>
      </w:r>
    </w:p>
    <w:p>
      <w:pPr>
        <w:pStyle w:val="10"/>
      </w:pPr>
      <w:r>
        <w:t>8.开展矛盾纠纷排查化解专项行动，组织司法所长暨人民调解员培训，贯彻落实《中华人民共和国社区矫正法》，持续做好社区矫正和安置帮教安全管控，落实全国统一的司法行政戒毒工作基本模式。</w:t>
      </w:r>
    </w:p>
    <w:p>
      <w:pPr>
        <w:pStyle w:val="10"/>
      </w:pPr>
      <w:r>
        <w:t>9. 认真落实行政执法三项制度，加强市、县两级司法行政机关执法人员队伍建设。落实“双随机、一公开”机制，强化内外监督。积极稳妥做好行政审批事项对行政审批局的划转对接工作。</w:t>
      </w:r>
    </w:p>
    <w:p>
      <w:pPr>
        <w:pStyle w:val="10"/>
      </w:pPr>
      <w:r>
        <w:t>10.提升严重不良行为未成年人专门矫治教育能力工作。围绕资源保障、制度建设、专业职称、安全管理、家校协同五大核心维度，构建系统化、长效化的保障体系，确保专门学校教育教学工作的有序开展、育人目标有效落地。</w:t>
      </w:r>
    </w:p>
    <w:p>
      <w:pPr>
        <w:pStyle w:val="10"/>
      </w:pPr>
      <w:r>
        <w:t>11深入开展纠正“四风”和作风纪律专项整治，抓早抓小、防微杜渐，严查违反中央八项规定、“四风”问题特别是形式主义、官僚主义新表现，严肃处理便民服务窗口纪律作风涣散等问题，最大限度防止队伍出问题，完善廉政风险防控机制等工作。</w:t>
      </w:r>
    </w:p>
    <w:p>
      <w:pPr>
        <w:pStyle w:val="10"/>
      </w:pPr>
      <w:r>
        <w:t>12.完善制度建设。包括制定完善预算绩效管理制度、资金管理办法、工作保障制度等，为全年预算绩效目标的实现奠定制度基础。</w:t>
      </w:r>
    </w:p>
    <w:p>
      <w:pPr>
        <w:pStyle w:val="10"/>
      </w:pPr>
      <w:r>
        <w:t>13.加强支出管理。通过优化支出结构、编细编实预算、加快履行政府采购手续、尽快启动项目、及时支付资金、6月底前细化代编预算、按规定及时下达资金等多种措施，确保支出进度达标。</w:t>
      </w:r>
    </w:p>
    <w:p>
      <w:pPr>
        <w:pStyle w:val="10"/>
      </w:pPr>
      <w:r>
        <w:t>14.加强绩效运行监控。按要求开展绩效运行监控，发现问题及时采取措施，确保绩效目标如期保质实现。</w:t>
      </w:r>
    </w:p>
    <w:p>
      <w:pPr>
        <w:pStyle w:val="10"/>
      </w:pPr>
      <w:r>
        <w:t>15.做好绩效自评。按要求开展上年度部门预算绩效自评和重点评价工作，对评价中发现的问题及时整改，调整优化支出结构，提高财政资金使用效益。</w:t>
      </w:r>
    </w:p>
    <w:p>
      <w:pPr>
        <w:pStyle w:val="10"/>
      </w:pPr>
      <w:r>
        <w:t>16.规范财务资产管理。完善财务管理制度，严格审批程序，加强固定资产登记、使用和报废处置管理，做到支出合理，物尽其用。</w:t>
      </w:r>
    </w:p>
    <w:p>
      <w:pPr>
        <w:pStyle w:val="10"/>
      </w:pPr>
      <w:r>
        <w:t>17.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10"/>
      </w:pPr>
      <w:r>
        <w:t>18.加强宣传培训调研等。加强人员培训，提高本部门职工业务素质；加强调研，提出优化财政资金配置、提高资金使用效益的意见；加大宣传力度，强化预算绩效管理意识，促进预算绩效管理水平进一步提升。</w:t>
      </w:r>
    </w:p>
    <w:p>
      <w:pPr>
        <w:spacing w:before="0" w:after="0" w:line="240" w:lineRule="auto"/>
        <w:ind w:firstLine="0"/>
        <w:jc w:val="center"/>
        <w:outlineLvl w:val="9"/>
        <w:sectPr>
          <w:pgSz w:w="11900" w:h="16840"/>
          <w:pgMar w:top="1984" w:right="1304" w:bottom="1134" w:left="1304" w:header="720" w:footer="720" w:gutter="0"/>
          <w:pgNumType w:start="1"/>
        </w:sectPr>
      </w:pPr>
      <w:r>
        <w:rPr>
          <w:rFonts w:ascii="方正书宋_GBK" w:hAnsi="方正书宋_GBK" w:eastAsia="方正书宋_GBK" w:cs="方正书宋_GBK"/>
          <w:color w:val="000000"/>
          <w:sz w:val="21"/>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第二部分</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预算项目绩效目标</w:t>
      </w:r>
    </w:p>
    <w:p>
      <w:pPr>
        <w:spacing w:before="0" w:after="0" w:line="240" w:lineRule="auto"/>
        <w:ind w:firstLine="0"/>
        <w:jc w:val="center"/>
        <w:outlineLvl w:val="9"/>
        <w:sectPr>
          <w:pgSz w:w="11900" w:h="16840"/>
          <w:pgMar w:top="1984" w:right="1304" w:bottom="1134" w:left="1304" w:header="720" w:footer="720" w:gutter="0"/>
        </w:sectPr>
      </w:pPr>
      <w:r>
        <w:rPr>
          <w:rFonts w:ascii="方正书宋_GBK" w:hAnsi="方正书宋_GBK" w:eastAsia="方正书宋_GBK" w:cs="方正书宋_GBK"/>
          <w:color w:val="000000"/>
          <w:sz w:val="21"/>
        </w:rPr>
        <w:t xml:space="preserve"> </w:t>
      </w: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 w:name="_Toc_4_4_0000000004"/>
      <w:r>
        <w:rPr>
          <w:rFonts w:ascii="方正仿宋_GBK" w:hAnsi="方正仿宋_GBK" w:eastAsia="方正仿宋_GBK" w:cs="方正仿宋_GBK"/>
          <w:color w:val="000000"/>
          <w:sz w:val="28"/>
        </w:rPr>
        <w:t>1.安置帮教业务费绩效目标表</w:t>
      </w:r>
      <w:bookmarkEnd w:id="3"/>
    </w:p>
    <w:tbl>
      <w:tblPr>
        <w:tblStyle w:val="5"/>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307001唐山市司法局本级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13020026P000C0T100034</w:t>
            </w:r>
          </w:p>
        </w:tc>
        <w:tc>
          <w:tcPr>
            <w:tcW w:w="1587" w:type="dxa"/>
            <w:vAlign w:val="center"/>
          </w:tcPr>
          <w:p>
            <w:pPr>
              <w:pStyle w:val="14"/>
            </w:pPr>
            <w:r>
              <w:t>项目名称</w:t>
            </w:r>
          </w:p>
        </w:tc>
        <w:tc>
          <w:tcPr>
            <w:tcW w:w="4423" w:type="dxa"/>
            <w:gridSpan w:val="3"/>
            <w:vAlign w:val="center"/>
          </w:tcPr>
          <w:p>
            <w:pPr>
              <w:pStyle w:val="13"/>
            </w:pPr>
            <w:r>
              <w:t>安置帮教业务费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8.50</w:t>
            </w:r>
          </w:p>
        </w:tc>
        <w:tc>
          <w:tcPr>
            <w:tcW w:w="1587" w:type="dxa"/>
            <w:vAlign w:val="center"/>
          </w:tcPr>
          <w:p>
            <w:pPr>
              <w:pStyle w:val="14"/>
            </w:pPr>
            <w:r>
              <w:t>其中：财政    资金</w:t>
            </w:r>
          </w:p>
        </w:tc>
        <w:tc>
          <w:tcPr>
            <w:tcW w:w="1304" w:type="dxa"/>
            <w:vAlign w:val="center"/>
          </w:tcPr>
          <w:p>
            <w:pPr>
              <w:pStyle w:val="13"/>
            </w:pPr>
            <w:r>
              <w:t>8.50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用来支付我单位安置帮教业务支出。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1.该专项资金旨在帮助刑满释放人员顺利回归社会，预防和减少重新犯罪。</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衔接率</w:t>
            </w:r>
          </w:p>
        </w:tc>
        <w:tc>
          <w:tcPr>
            <w:tcW w:w="2891" w:type="dxa"/>
            <w:vAlign w:val="center"/>
          </w:tcPr>
          <w:p>
            <w:pPr>
              <w:pStyle w:val="13"/>
            </w:pPr>
            <w:r>
              <w:t>年度内新接收刑满释放人员衔接率</w:t>
            </w:r>
          </w:p>
        </w:tc>
        <w:tc>
          <w:tcPr>
            <w:tcW w:w="1276" w:type="dxa"/>
            <w:vAlign w:val="center"/>
          </w:tcPr>
          <w:p>
            <w:pPr>
              <w:pStyle w:val="13"/>
            </w:pPr>
            <w:r>
              <w:t>≥90%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档案建立率</w:t>
            </w:r>
          </w:p>
        </w:tc>
        <w:tc>
          <w:tcPr>
            <w:tcW w:w="2891" w:type="dxa"/>
            <w:vAlign w:val="center"/>
          </w:tcPr>
          <w:p>
            <w:pPr>
              <w:pStyle w:val="13"/>
            </w:pPr>
            <w:r>
              <w:t>安置帮教档案规范建立率</w:t>
            </w:r>
          </w:p>
        </w:tc>
        <w:tc>
          <w:tcPr>
            <w:tcW w:w="1276" w:type="dxa"/>
            <w:vAlign w:val="center"/>
          </w:tcPr>
          <w:p>
            <w:pPr>
              <w:pStyle w:val="13"/>
            </w:pPr>
            <w:r>
              <w:t>≥98%</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登记时间</w:t>
            </w:r>
          </w:p>
        </w:tc>
        <w:tc>
          <w:tcPr>
            <w:tcW w:w="2891" w:type="dxa"/>
            <w:vAlign w:val="center"/>
          </w:tcPr>
          <w:p>
            <w:pPr>
              <w:pStyle w:val="13"/>
            </w:pPr>
            <w:r>
              <w:t>接到通知后，在3-7日内完成人员衔接与登记</w:t>
            </w:r>
          </w:p>
        </w:tc>
        <w:tc>
          <w:tcPr>
            <w:tcW w:w="1276" w:type="dxa"/>
            <w:vAlign w:val="center"/>
          </w:tcPr>
          <w:p>
            <w:pPr>
              <w:pStyle w:val="13"/>
            </w:pPr>
            <w:r>
              <w:t>≤7天</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安置帮教总成本</w:t>
            </w:r>
          </w:p>
        </w:tc>
        <w:tc>
          <w:tcPr>
            <w:tcW w:w="2891" w:type="dxa"/>
            <w:vAlign w:val="center"/>
          </w:tcPr>
          <w:p>
            <w:pPr>
              <w:pStyle w:val="13"/>
            </w:pPr>
            <w:r>
              <w:t>安置帮教总成本</w:t>
            </w:r>
          </w:p>
        </w:tc>
        <w:tc>
          <w:tcPr>
            <w:tcW w:w="1276" w:type="dxa"/>
            <w:vAlign w:val="center"/>
          </w:tcPr>
          <w:p>
            <w:pPr>
              <w:pStyle w:val="13"/>
            </w:pPr>
            <w:r>
              <w:t>≤8.5万元</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安置率</w:t>
            </w:r>
          </w:p>
        </w:tc>
        <w:tc>
          <w:tcPr>
            <w:tcW w:w="2891" w:type="dxa"/>
            <w:vAlign w:val="center"/>
          </w:tcPr>
          <w:p>
            <w:pPr>
              <w:pStyle w:val="13"/>
            </w:pPr>
            <w:r>
              <w:t>帮扶对象的安置率</w:t>
            </w:r>
          </w:p>
        </w:tc>
        <w:tc>
          <w:tcPr>
            <w:tcW w:w="1276" w:type="dxa"/>
            <w:vAlign w:val="center"/>
          </w:tcPr>
          <w:p>
            <w:pPr>
              <w:pStyle w:val="13"/>
            </w:pPr>
            <w:r>
              <w:t>≥60%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帮助对象及其家属满意度</w:t>
            </w:r>
          </w:p>
        </w:tc>
        <w:tc>
          <w:tcPr>
            <w:tcW w:w="2891" w:type="dxa"/>
            <w:vAlign w:val="center"/>
          </w:tcPr>
          <w:p>
            <w:pPr>
              <w:pStyle w:val="13"/>
            </w:pPr>
            <w:r>
              <w:t>帮助对象及其家属对帮扶工作的满意度</w:t>
            </w:r>
          </w:p>
        </w:tc>
        <w:tc>
          <w:tcPr>
            <w:tcW w:w="1276" w:type="dxa"/>
            <w:vAlign w:val="center"/>
          </w:tcPr>
          <w:p>
            <w:pPr>
              <w:pStyle w:val="13"/>
            </w:pPr>
            <w:r>
              <w:t>≥90%</w:t>
            </w:r>
          </w:p>
        </w:tc>
        <w:tc>
          <w:tcPr>
            <w:tcW w:w="1843" w:type="dxa"/>
            <w:vAlign w:val="center"/>
          </w:tcPr>
          <w:p>
            <w:pPr>
              <w:pStyle w:val="13"/>
            </w:pPr>
            <w:r>
              <w:t>工作计划</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 w:name="_Toc_4_4_0000000005"/>
      <w:r>
        <w:rPr>
          <w:rFonts w:ascii="方正仿宋_GBK" w:hAnsi="方正仿宋_GBK" w:eastAsia="方正仿宋_GBK" w:cs="方正仿宋_GBK"/>
          <w:color w:val="000000"/>
          <w:sz w:val="28"/>
        </w:rPr>
        <w:t>2.法律援助办案补贴（业务费）绩效目标表</w:t>
      </w:r>
      <w:bookmarkEnd w:id="4"/>
    </w:p>
    <w:tbl>
      <w:tblPr>
        <w:tblStyle w:val="5"/>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307001唐山市司法局本级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13020026P00684115501A</w:t>
            </w:r>
          </w:p>
        </w:tc>
        <w:tc>
          <w:tcPr>
            <w:tcW w:w="1587" w:type="dxa"/>
            <w:vAlign w:val="center"/>
          </w:tcPr>
          <w:p>
            <w:pPr>
              <w:pStyle w:val="14"/>
            </w:pPr>
            <w:r>
              <w:t>项目名称</w:t>
            </w:r>
          </w:p>
        </w:tc>
        <w:tc>
          <w:tcPr>
            <w:tcW w:w="4423" w:type="dxa"/>
            <w:gridSpan w:val="3"/>
            <w:vAlign w:val="center"/>
          </w:tcPr>
          <w:p>
            <w:pPr>
              <w:pStyle w:val="13"/>
            </w:pPr>
            <w:r>
              <w:t>法律援助办案补贴（业务费）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8.00</w:t>
            </w:r>
          </w:p>
        </w:tc>
        <w:tc>
          <w:tcPr>
            <w:tcW w:w="1587" w:type="dxa"/>
            <w:vAlign w:val="center"/>
          </w:tcPr>
          <w:p>
            <w:pPr>
              <w:pStyle w:val="14"/>
            </w:pPr>
            <w:r>
              <w:t>其中：财政    资金</w:t>
            </w:r>
          </w:p>
        </w:tc>
        <w:tc>
          <w:tcPr>
            <w:tcW w:w="1304" w:type="dxa"/>
            <w:vAlign w:val="center"/>
          </w:tcPr>
          <w:p>
            <w:pPr>
              <w:pStyle w:val="13"/>
            </w:pPr>
            <w:r>
              <w:t>8.00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该项目资金用于支付法律援助中心的日常办公费支出。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1.保障法律援助中心业务正常开展。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依法办理法律援助案件数量</w:t>
            </w:r>
          </w:p>
        </w:tc>
        <w:tc>
          <w:tcPr>
            <w:tcW w:w="2891" w:type="dxa"/>
            <w:vAlign w:val="center"/>
          </w:tcPr>
          <w:p>
            <w:pPr>
              <w:pStyle w:val="13"/>
            </w:pPr>
            <w:r>
              <w:t>依法办理法律援助案件数量</w:t>
            </w:r>
          </w:p>
        </w:tc>
        <w:tc>
          <w:tcPr>
            <w:tcW w:w="1276" w:type="dxa"/>
            <w:vAlign w:val="center"/>
          </w:tcPr>
          <w:p>
            <w:pPr>
              <w:pStyle w:val="13"/>
            </w:pPr>
            <w:r>
              <w:t>≥50件</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法律案件归档合格率</w:t>
            </w:r>
          </w:p>
        </w:tc>
        <w:tc>
          <w:tcPr>
            <w:tcW w:w="2891" w:type="dxa"/>
            <w:vAlign w:val="center"/>
          </w:tcPr>
          <w:p>
            <w:pPr>
              <w:pStyle w:val="13"/>
            </w:pPr>
            <w:r>
              <w:t>法律案件归档合格率</w:t>
            </w:r>
          </w:p>
        </w:tc>
        <w:tc>
          <w:tcPr>
            <w:tcW w:w="1276" w:type="dxa"/>
            <w:vAlign w:val="center"/>
          </w:tcPr>
          <w:p>
            <w:pPr>
              <w:pStyle w:val="13"/>
            </w:pPr>
            <w:r>
              <w:t>≥95%</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法律援助补贴发放及时率</w:t>
            </w:r>
          </w:p>
        </w:tc>
        <w:tc>
          <w:tcPr>
            <w:tcW w:w="2891" w:type="dxa"/>
            <w:vAlign w:val="center"/>
          </w:tcPr>
          <w:p>
            <w:pPr>
              <w:pStyle w:val="13"/>
            </w:pPr>
            <w:r>
              <w:t>法律援助补贴发放及时率</w:t>
            </w:r>
          </w:p>
        </w:tc>
        <w:tc>
          <w:tcPr>
            <w:tcW w:w="1276" w:type="dxa"/>
            <w:vAlign w:val="center"/>
          </w:tcPr>
          <w:p>
            <w:pPr>
              <w:pStyle w:val="13"/>
            </w:pPr>
            <w:r>
              <w:t>100%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案件补贴总成本控制</w:t>
            </w:r>
          </w:p>
        </w:tc>
        <w:tc>
          <w:tcPr>
            <w:tcW w:w="2891" w:type="dxa"/>
            <w:vAlign w:val="center"/>
          </w:tcPr>
          <w:p>
            <w:pPr>
              <w:pStyle w:val="13"/>
            </w:pPr>
            <w:r>
              <w:t>案件补贴总成本控制</w:t>
            </w:r>
          </w:p>
        </w:tc>
        <w:tc>
          <w:tcPr>
            <w:tcW w:w="1276" w:type="dxa"/>
            <w:vAlign w:val="center"/>
          </w:tcPr>
          <w:p>
            <w:pPr>
              <w:pStyle w:val="13"/>
            </w:pPr>
            <w:r>
              <w:t>&lt;8万元</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保障困难群体和特殊案件当事人获得法律援助率</w:t>
            </w:r>
          </w:p>
        </w:tc>
        <w:tc>
          <w:tcPr>
            <w:tcW w:w="2891" w:type="dxa"/>
            <w:vAlign w:val="center"/>
          </w:tcPr>
          <w:p>
            <w:pPr>
              <w:pStyle w:val="13"/>
            </w:pPr>
            <w:r>
              <w:t>保障困难群体和特殊案件当事人获得法律援助率</w:t>
            </w:r>
          </w:p>
        </w:tc>
        <w:tc>
          <w:tcPr>
            <w:tcW w:w="1276" w:type="dxa"/>
            <w:vAlign w:val="center"/>
          </w:tcPr>
          <w:p>
            <w:pPr>
              <w:pStyle w:val="13"/>
            </w:pPr>
            <w:r>
              <w:t>≥80%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受援人满意度</w:t>
            </w:r>
          </w:p>
        </w:tc>
        <w:tc>
          <w:tcPr>
            <w:tcW w:w="2891" w:type="dxa"/>
            <w:vAlign w:val="center"/>
          </w:tcPr>
          <w:p>
            <w:pPr>
              <w:pStyle w:val="13"/>
            </w:pPr>
            <w:r>
              <w:t>受援人满意度</w:t>
            </w:r>
          </w:p>
        </w:tc>
        <w:tc>
          <w:tcPr>
            <w:tcW w:w="1276" w:type="dxa"/>
            <w:vAlign w:val="center"/>
          </w:tcPr>
          <w:p>
            <w:pPr>
              <w:pStyle w:val="13"/>
            </w:pPr>
            <w:r>
              <w:t>≥90%</w:t>
            </w:r>
          </w:p>
        </w:tc>
        <w:tc>
          <w:tcPr>
            <w:tcW w:w="1843" w:type="dxa"/>
            <w:vAlign w:val="center"/>
          </w:tcPr>
          <w:p>
            <w:pPr>
              <w:pStyle w:val="13"/>
            </w:pPr>
            <w:r>
              <w:t>工作计划</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 w:name="_Toc_4_4_0000000006"/>
      <w:r>
        <w:rPr>
          <w:rFonts w:ascii="方正仿宋_GBK" w:hAnsi="方正仿宋_GBK" w:eastAsia="方正仿宋_GBK" w:cs="方正仿宋_GBK"/>
          <w:color w:val="000000"/>
          <w:sz w:val="28"/>
        </w:rPr>
        <w:t>3.法制建设业务费绩效目标表</w:t>
      </w:r>
      <w:bookmarkEnd w:id="5"/>
    </w:p>
    <w:tbl>
      <w:tblPr>
        <w:tblStyle w:val="5"/>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307001唐山市司法局本级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13020026P0002NN10003Y</w:t>
            </w:r>
          </w:p>
        </w:tc>
        <w:tc>
          <w:tcPr>
            <w:tcW w:w="1587" w:type="dxa"/>
            <w:vAlign w:val="center"/>
          </w:tcPr>
          <w:p>
            <w:pPr>
              <w:pStyle w:val="14"/>
            </w:pPr>
            <w:r>
              <w:t>项目名称</w:t>
            </w:r>
          </w:p>
        </w:tc>
        <w:tc>
          <w:tcPr>
            <w:tcW w:w="4423" w:type="dxa"/>
            <w:gridSpan w:val="3"/>
            <w:vAlign w:val="center"/>
          </w:tcPr>
          <w:p>
            <w:pPr>
              <w:pStyle w:val="13"/>
            </w:pPr>
            <w:r>
              <w:t>法制建设业务费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13.00</w:t>
            </w:r>
          </w:p>
        </w:tc>
        <w:tc>
          <w:tcPr>
            <w:tcW w:w="1587" w:type="dxa"/>
            <w:vAlign w:val="center"/>
          </w:tcPr>
          <w:p>
            <w:pPr>
              <w:pStyle w:val="14"/>
            </w:pPr>
            <w:r>
              <w:t>其中：财政    资金</w:t>
            </w:r>
          </w:p>
        </w:tc>
        <w:tc>
          <w:tcPr>
            <w:tcW w:w="1304" w:type="dxa"/>
            <w:vAlign w:val="center"/>
          </w:tcPr>
          <w:p>
            <w:pPr>
              <w:pStyle w:val="13"/>
            </w:pPr>
            <w:r>
              <w:t>13.00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该项目用来支付法制建设培训费。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50%</w:t>
            </w:r>
          </w:p>
        </w:tc>
        <w:tc>
          <w:tcPr>
            <w:tcW w:w="1304" w:type="dxa"/>
            <w:vAlign w:val="center"/>
          </w:tcPr>
          <w:p>
            <w:pPr>
              <w:pStyle w:val="15"/>
            </w:pPr>
            <w:r>
              <w:t>70%</w:t>
            </w:r>
          </w:p>
        </w:tc>
        <w:tc>
          <w:tcPr>
            <w:tcW w:w="3119"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1.该笔资金用来支付培训费支出，通过培训，提升全市司法行政干部及行政执法人员的专业素养和履职能力，为法制建设重点工作的完成提供人才保障。</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培训人次</w:t>
            </w:r>
          </w:p>
        </w:tc>
        <w:tc>
          <w:tcPr>
            <w:tcW w:w="2891" w:type="dxa"/>
            <w:vAlign w:val="center"/>
          </w:tcPr>
          <w:p>
            <w:pPr>
              <w:pStyle w:val="13"/>
            </w:pPr>
            <w:r>
              <w:t>参加培训人数</w:t>
            </w:r>
          </w:p>
        </w:tc>
        <w:tc>
          <w:tcPr>
            <w:tcW w:w="1276" w:type="dxa"/>
            <w:vAlign w:val="center"/>
          </w:tcPr>
          <w:p>
            <w:pPr>
              <w:pStyle w:val="13"/>
            </w:pPr>
            <w:r>
              <w:t>≥500人次</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培训合格率</w:t>
            </w:r>
          </w:p>
        </w:tc>
        <w:tc>
          <w:tcPr>
            <w:tcW w:w="2891" w:type="dxa"/>
            <w:vAlign w:val="center"/>
          </w:tcPr>
          <w:p>
            <w:pPr>
              <w:pStyle w:val="13"/>
            </w:pPr>
            <w:r>
              <w:t>参训人员培训合格率</w:t>
            </w:r>
          </w:p>
        </w:tc>
        <w:tc>
          <w:tcPr>
            <w:tcW w:w="1276" w:type="dxa"/>
            <w:vAlign w:val="center"/>
          </w:tcPr>
          <w:p>
            <w:pPr>
              <w:pStyle w:val="13"/>
            </w:pPr>
            <w:r>
              <w:t>≥95%</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培训时间</w:t>
            </w:r>
          </w:p>
        </w:tc>
        <w:tc>
          <w:tcPr>
            <w:tcW w:w="2891" w:type="dxa"/>
            <w:vAlign w:val="center"/>
          </w:tcPr>
          <w:p>
            <w:pPr>
              <w:pStyle w:val="13"/>
            </w:pPr>
            <w:r>
              <w:t>培训任务完成时间</w:t>
            </w:r>
          </w:p>
        </w:tc>
        <w:tc>
          <w:tcPr>
            <w:tcW w:w="1276" w:type="dxa"/>
            <w:vAlign w:val="center"/>
          </w:tcPr>
          <w:p>
            <w:pPr>
              <w:pStyle w:val="13"/>
            </w:pPr>
            <w:r>
              <w:t>2026年12月月底前</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培训人均费用标准</w:t>
            </w:r>
          </w:p>
        </w:tc>
        <w:tc>
          <w:tcPr>
            <w:tcW w:w="2891" w:type="dxa"/>
            <w:vAlign w:val="center"/>
          </w:tcPr>
          <w:p>
            <w:pPr>
              <w:pStyle w:val="13"/>
            </w:pPr>
            <w:r>
              <w:t>每名参训人员每天培训费用</w:t>
            </w:r>
          </w:p>
        </w:tc>
        <w:tc>
          <w:tcPr>
            <w:tcW w:w="1276" w:type="dxa"/>
            <w:vAlign w:val="center"/>
          </w:tcPr>
          <w:p>
            <w:pPr>
              <w:pStyle w:val="13"/>
            </w:pPr>
            <w:r>
              <w:t>≤450元</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参训人员知晓率</w:t>
            </w:r>
          </w:p>
        </w:tc>
        <w:tc>
          <w:tcPr>
            <w:tcW w:w="2891" w:type="dxa"/>
            <w:vAlign w:val="center"/>
          </w:tcPr>
          <w:p>
            <w:pPr>
              <w:pStyle w:val="13"/>
            </w:pPr>
            <w:r>
              <w:t>参训人员对法制建设知晓率</w:t>
            </w:r>
          </w:p>
        </w:tc>
        <w:tc>
          <w:tcPr>
            <w:tcW w:w="1276" w:type="dxa"/>
            <w:vAlign w:val="center"/>
          </w:tcPr>
          <w:p>
            <w:pPr>
              <w:pStyle w:val="13"/>
            </w:pPr>
            <w:r>
              <w:t>≥95%</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参训人员的满意度</w:t>
            </w:r>
          </w:p>
        </w:tc>
        <w:tc>
          <w:tcPr>
            <w:tcW w:w="2891" w:type="dxa"/>
            <w:vAlign w:val="center"/>
          </w:tcPr>
          <w:p>
            <w:pPr>
              <w:pStyle w:val="13"/>
            </w:pPr>
            <w:r>
              <w:t>参训人员对培训内容、师资的满意度</w:t>
            </w:r>
          </w:p>
        </w:tc>
        <w:tc>
          <w:tcPr>
            <w:tcW w:w="1276" w:type="dxa"/>
            <w:vAlign w:val="center"/>
          </w:tcPr>
          <w:p>
            <w:pPr>
              <w:pStyle w:val="13"/>
            </w:pPr>
            <w:r>
              <w:t>≥90%</w:t>
            </w:r>
          </w:p>
        </w:tc>
        <w:tc>
          <w:tcPr>
            <w:tcW w:w="1843" w:type="dxa"/>
            <w:vAlign w:val="center"/>
          </w:tcPr>
          <w:p>
            <w:pPr>
              <w:pStyle w:val="13"/>
            </w:pPr>
            <w:r>
              <w:t>工作计划</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 w:name="_Toc_4_4_0000000007"/>
      <w:r>
        <w:rPr>
          <w:rFonts w:ascii="方正仿宋_GBK" w:hAnsi="方正仿宋_GBK" w:eastAsia="方正仿宋_GBK" w:cs="方正仿宋_GBK"/>
          <w:color w:val="000000"/>
          <w:sz w:val="28"/>
        </w:rPr>
        <w:t>4.法制业务专业材料费绩效目标表</w:t>
      </w:r>
      <w:bookmarkEnd w:id="6"/>
    </w:p>
    <w:tbl>
      <w:tblPr>
        <w:tblStyle w:val="5"/>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307001唐山市司法局本级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13020026P006837105273</w:t>
            </w:r>
          </w:p>
        </w:tc>
        <w:tc>
          <w:tcPr>
            <w:tcW w:w="1587" w:type="dxa"/>
            <w:vAlign w:val="center"/>
          </w:tcPr>
          <w:p>
            <w:pPr>
              <w:pStyle w:val="14"/>
            </w:pPr>
            <w:r>
              <w:t>项目名称</w:t>
            </w:r>
          </w:p>
        </w:tc>
        <w:tc>
          <w:tcPr>
            <w:tcW w:w="4423" w:type="dxa"/>
            <w:gridSpan w:val="3"/>
            <w:vAlign w:val="center"/>
          </w:tcPr>
          <w:p>
            <w:pPr>
              <w:pStyle w:val="13"/>
            </w:pPr>
            <w:r>
              <w:t>法制业务专业材料费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4.00</w:t>
            </w:r>
          </w:p>
        </w:tc>
        <w:tc>
          <w:tcPr>
            <w:tcW w:w="1587" w:type="dxa"/>
            <w:vAlign w:val="center"/>
          </w:tcPr>
          <w:p>
            <w:pPr>
              <w:pStyle w:val="14"/>
            </w:pPr>
            <w:r>
              <w:t>其中：财政    资金</w:t>
            </w:r>
          </w:p>
        </w:tc>
        <w:tc>
          <w:tcPr>
            <w:tcW w:w="1304" w:type="dxa"/>
            <w:vAlign w:val="center"/>
          </w:tcPr>
          <w:p>
            <w:pPr>
              <w:pStyle w:val="13"/>
            </w:pPr>
            <w:r>
              <w:t>4.00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该项目资金主要用来支出的印刷费。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1.该专项经费主要用来支出单位的印刷费。</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印刷品数量</w:t>
            </w:r>
          </w:p>
        </w:tc>
        <w:tc>
          <w:tcPr>
            <w:tcW w:w="2891" w:type="dxa"/>
            <w:vAlign w:val="center"/>
          </w:tcPr>
          <w:p>
            <w:pPr>
              <w:pStyle w:val="13"/>
            </w:pPr>
            <w:r>
              <w:t>印制法治政府宣传材料的数量</w:t>
            </w:r>
          </w:p>
        </w:tc>
        <w:tc>
          <w:tcPr>
            <w:tcW w:w="1276" w:type="dxa"/>
            <w:vAlign w:val="center"/>
          </w:tcPr>
          <w:p>
            <w:pPr>
              <w:pStyle w:val="13"/>
            </w:pPr>
            <w:r>
              <w:t>≥200册</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印刷成品合格率</w:t>
            </w:r>
          </w:p>
        </w:tc>
        <w:tc>
          <w:tcPr>
            <w:tcW w:w="2891" w:type="dxa"/>
            <w:vAlign w:val="center"/>
          </w:tcPr>
          <w:p>
            <w:pPr>
              <w:pStyle w:val="13"/>
            </w:pPr>
            <w:r>
              <w:t>印刷成品合格率</w:t>
            </w:r>
          </w:p>
        </w:tc>
        <w:tc>
          <w:tcPr>
            <w:tcW w:w="1276" w:type="dxa"/>
            <w:vAlign w:val="center"/>
          </w:tcPr>
          <w:p>
            <w:pPr>
              <w:pStyle w:val="13"/>
            </w:pPr>
            <w:r>
              <w:t>≥95%</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材料及时交付率</w:t>
            </w:r>
          </w:p>
        </w:tc>
        <w:tc>
          <w:tcPr>
            <w:tcW w:w="2891" w:type="dxa"/>
            <w:vAlign w:val="center"/>
          </w:tcPr>
          <w:p>
            <w:pPr>
              <w:pStyle w:val="13"/>
            </w:pPr>
            <w:r>
              <w:t>材料及时交付率</w:t>
            </w:r>
          </w:p>
        </w:tc>
        <w:tc>
          <w:tcPr>
            <w:tcW w:w="1276" w:type="dxa"/>
            <w:vAlign w:val="center"/>
          </w:tcPr>
          <w:p>
            <w:pPr>
              <w:pStyle w:val="13"/>
            </w:pPr>
            <w:r>
              <w:t>≥95%</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单次印刷活动成本</w:t>
            </w:r>
          </w:p>
        </w:tc>
        <w:tc>
          <w:tcPr>
            <w:tcW w:w="2891" w:type="dxa"/>
            <w:vAlign w:val="center"/>
          </w:tcPr>
          <w:p>
            <w:pPr>
              <w:pStyle w:val="13"/>
            </w:pPr>
            <w:r>
              <w:t>单次印刷活动成本</w:t>
            </w:r>
          </w:p>
        </w:tc>
        <w:tc>
          <w:tcPr>
            <w:tcW w:w="1276" w:type="dxa"/>
            <w:vAlign w:val="center"/>
          </w:tcPr>
          <w:p>
            <w:pPr>
              <w:pStyle w:val="13"/>
            </w:pPr>
            <w:r>
              <w:t>&lt;5000元</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保障宣传工作类型数量</w:t>
            </w:r>
          </w:p>
        </w:tc>
        <w:tc>
          <w:tcPr>
            <w:tcW w:w="2891" w:type="dxa"/>
            <w:vAlign w:val="center"/>
          </w:tcPr>
          <w:p>
            <w:pPr>
              <w:pStyle w:val="13"/>
            </w:pPr>
            <w:r>
              <w:t>保障宣传工作类型数量</w:t>
            </w:r>
          </w:p>
        </w:tc>
        <w:tc>
          <w:tcPr>
            <w:tcW w:w="1276" w:type="dxa"/>
            <w:vAlign w:val="center"/>
          </w:tcPr>
          <w:p>
            <w:pPr>
              <w:pStyle w:val="13"/>
            </w:pPr>
            <w:r>
              <w:t>≥6种</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内部科室满意度</w:t>
            </w:r>
          </w:p>
        </w:tc>
        <w:tc>
          <w:tcPr>
            <w:tcW w:w="2891" w:type="dxa"/>
            <w:vAlign w:val="center"/>
          </w:tcPr>
          <w:p>
            <w:pPr>
              <w:pStyle w:val="13"/>
            </w:pPr>
            <w:r>
              <w:t>内部科室满意度</w:t>
            </w:r>
          </w:p>
        </w:tc>
        <w:tc>
          <w:tcPr>
            <w:tcW w:w="1276" w:type="dxa"/>
            <w:vAlign w:val="center"/>
          </w:tcPr>
          <w:p>
            <w:pPr>
              <w:pStyle w:val="13"/>
            </w:pPr>
            <w:r>
              <w:t>≥93%</w:t>
            </w:r>
          </w:p>
        </w:tc>
        <w:tc>
          <w:tcPr>
            <w:tcW w:w="1843" w:type="dxa"/>
            <w:vAlign w:val="center"/>
          </w:tcPr>
          <w:p>
            <w:pPr>
              <w:pStyle w:val="13"/>
            </w:pPr>
            <w:r>
              <w:t>工作计划</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7" w:name="_Toc_4_4_0000000008"/>
      <w:r>
        <w:rPr>
          <w:rFonts w:ascii="方正仿宋_GBK" w:hAnsi="方正仿宋_GBK" w:eastAsia="方正仿宋_GBK" w:cs="方正仿宋_GBK"/>
          <w:color w:val="000000"/>
          <w:sz w:val="28"/>
        </w:rPr>
        <w:t>5.服装费绩效目标表</w:t>
      </w:r>
      <w:bookmarkEnd w:id="7"/>
    </w:p>
    <w:tbl>
      <w:tblPr>
        <w:tblStyle w:val="5"/>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307001唐山市司法局本级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13020026P00D6F8100041</w:t>
            </w:r>
          </w:p>
        </w:tc>
        <w:tc>
          <w:tcPr>
            <w:tcW w:w="1587" w:type="dxa"/>
            <w:vAlign w:val="center"/>
          </w:tcPr>
          <w:p>
            <w:pPr>
              <w:pStyle w:val="14"/>
            </w:pPr>
            <w:r>
              <w:t>项目名称</w:t>
            </w:r>
          </w:p>
        </w:tc>
        <w:tc>
          <w:tcPr>
            <w:tcW w:w="4423" w:type="dxa"/>
            <w:gridSpan w:val="3"/>
            <w:vAlign w:val="center"/>
          </w:tcPr>
          <w:p>
            <w:pPr>
              <w:pStyle w:val="13"/>
            </w:pPr>
            <w:r>
              <w:t>服装费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9.30</w:t>
            </w:r>
          </w:p>
        </w:tc>
        <w:tc>
          <w:tcPr>
            <w:tcW w:w="1587" w:type="dxa"/>
            <w:vAlign w:val="center"/>
          </w:tcPr>
          <w:p>
            <w:pPr>
              <w:pStyle w:val="14"/>
            </w:pPr>
            <w:r>
              <w:t>其中：财政    资金</w:t>
            </w:r>
          </w:p>
        </w:tc>
        <w:tc>
          <w:tcPr>
            <w:tcW w:w="1304" w:type="dxa"/>
            <w:vAlign w:val="center"/>
          </w:tcPr>
          <w:p>
            <w:pPr>
              <w:pStyle w:val="13"/>
            </w:pPr>
            <w:r>
              <w:t>9.30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该项目用于支付干警服装费。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1.保障全市司法行政执法人员制式服装，满足执法人员着装需求。</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合规发配人数</w:t>
            </w:r>
          </w:p>
        </w:tc>
        <w:tc>
          <w:tcPr>
            <w:tcW w:w="2891" w:type="dxa"/>
            <w:vAlign w:val="center"/>
          </w:tcPr>
          <w:p>
            <w:pPr>
              <w:pStyle w:val="13"/>
            </w:pPr>
            <w:r>
              <w:t>合规发配人数</w:t>
            </w:r>
          </w:p>
        </w:tc>
        <w:tc>
          <w:tcPr>
            <w:tcW w:w="1276" w:type="dxa"/>
            <w:vAlign w:val="center"/>
          </w:tcPr>
          <w:p>
            <w:pPr>
              <w:pStyle w:val="13"/>
            </w:pPr>
            <w:r>
              <w:t>16人</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配发合规率</w:t>
            </w:r>
          </w:p>
        </w:tc>
        <w:tc>
          <w:tcPr>
            <w:tcW w:w="2891" w:type="dxa"/>
            <w:vAlign w:val="center"/>
          </w:tcPr>
          <w:p>
            <w:pPr>
              <w:pStyle w:val="13"/>
            </w:pPr>
            <w:r>
              <w:t>配发合规率</w:t>
            </w:r>
          </w:p>
        </w:tc>
        <w:tc>
          <w:tcPr>
            <w:tcW w:w="1276" w:type="dxa"/>
            <w:vAlign w:val="center"/>
          </w:tcPr>
          <w:p>
            <w:pPr>
              <w:pStyle w:val="13"/>
            </w:pPr>
            <w:r>
              <w:t>100%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配发及时性</w:t>
            </w:r>
          </w:p>
        </w:tc>
        <w:tc>
          <w:tcPr>
            <w:tcW w:w="2891" w:type="dxa"/>
            <w:vAlign w:val="center"/>
          </w:tcPr>
          <w:p>
            <w:pPr>
              <w:pStyle w:val="13"/>
            </w:pPr>
            <w:r>
              <w:t>配发及时性</w:t>
            </w:r>
          </w:p>
        </w:tc>
        <w:tc>
          <w:tcPr>
            <w:tcW w:w="1276" w:type="dxa"/>
            <w:vAlign w:val="center"/>
          </w:tcPr>
          <w:p>
            <w:pPr>
              <w:pStyle w:val="13"/>
            </w:pPr>
            <w:r>
              <w:t>100%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每个人每套服装费用</w:t>
            </w:r>
          </w:p>
        </w:tc>
        <w:tc>
          <w:tcPr>
            <w:tcW w:w="2891" w:type="dxa"/>
            <w:vAlign w:val="center"/>
          </w:tcPr>
          <w:p>
            <w:pPr>
              <w:pStyle w:val="13"/>
            </w:pPr>
            <w:r>
              <w:t>每个人每套服装费用</w:t>
            </w:r>
          </w:p>
        </w:tc>
        <w:tc>
          <w:tcPr>
            <w:tcW w:w="1276" w:type="dxa"/>
            <w:vAlign w:val="center"/>
          </w:tcPr>
          <w:p>
            <w:pPr>
              <w:pStyle w:val="13"/>
            </w:pPr>
            <w:r>
              <w:t>≤5000元</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执法人员着装覆盖率</w:t>
            </w:r>
          </w:p>
        </w:tc>
        <w:tc>
          <w:tcPr>
            <w:tcW w:w="2891" w:type="dxa"/>
            <w:vAlign w:val="center"/>
          </w:tcPr>
          <w:p>
            <w:pPr>
              <w:pStyle w:val="13"/>
            </w:pPr>
            <w:r>
              <w:t>执法人员着装覆盖率</w:t>
            </w:r>
          </w:p>
        </w:tc>
        <w:tc>
          <w:tcPr>
            <w:tcW w:w="1276" w:type="dxa"/>
            <w:vAlign w:val="center"/>
          </w:tcPr>
          <w:p>
            <w:pPr>
              <w:pStyle w:val="13"/>
            </w:pPr>
            <w:r>
              <w:t>100%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配发警装人员满意度</w:t>
            </w:r>
          </w:p>
        </w:tc>
        <w:tc>
          <w:tcPr>
            <w:tcW w:w="2891" w:type="dxa"/>
            <w:vAlign w:val="center"/>
          </w:tcPr>
          <w:p>
            <w:pPr>
              <w:pStyle w:val="13"/>
            </w:pPr>
            <w:r>
              <w:t>配发警装人员满意度</w:t>
            </w:r>
          </w:p>
        </w:tc>
        <w:tc>
          <w:tcPr>
            <w:tcW w:w="1276" w:type="dxa"/>
            <w:vAlign w:val="center"/>
          </w:tcPr>
          <w:p>
            <w:pPr>
              <w:pStyle w:val="13"/>
            </w:pPr>
            <w:r>
              <w:t>≥90%</w:t>
            </w:r>
          </w:p>
        </w:tc>
        <w:tc>
          <w:tcPr>
            <w:tcW w:w="1843" w:type="dxa"/>
            <w:vAlign w:val="center"/>
          </w:tcPr>
          <w:p>
            <w:pPr>
              <w:pStyle w:val="13"/>
            </w:pPr>
            <w:r>
              <w:t>工作计划</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8" w:name="_Toc_4_4_0000000009"/>
      <w:r>
        <w:rPr>
          <w:rFonts w:ascii="方正仿宋_GBK" w:hAnsi="方正仿宋_GBK" w:eastAsia="方正仿宋_GBK" w:cs="方正仿宋_GBK"/>
          <w:color w:val="000000"/>
          <w:sz w:val="28"/>
        </w:rPr>
        <w:t>6.公共法律服务业务费绩效目标表</w:t>
      </w:r>
      <w:bookmarkEnd w:id="8"/>
    </w:p>
    <w:tbl>
      <w:tblPr>
        <w:tblStyle w:val="5"/>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307001唐山市司法局本级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13020026P00D28T100032</w:t>
            </w:r>
          </w:p>
        </w:tc>
        <w:tc>
          <w:tcPr>
            <w:tcW w:w="1587" w:type="dxa"/>
            <w:vAlign w:val="center"/>
          </w:tcPr>
          <w:p>
            <w:pPr>
              <w:pStyle w:val="14"/>
            </w:pPr>
            <w:r>
              <w:t>项目名称</w:t>
            </w:r>
          </w:p>
        </w:tc>
        <w:tc>
          <w:tcPr>
            <w:tcW w:w="4423" w:type="dxa"/>
            <w:gridSpan w:val="3"/>
            <w:vAlign w:val="center"/>
          </w:tcPr>
          <w:p>
            <w:pPr>
              <w:pStyle w:val="13"/>
            </w:pPr>
            <w:r>
              <w:t>公共法律服务业务费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70.00</w:t>
            </w:r>
          </w:p>
        </w:tc>
        <w:tc>
          <w:tcPr>
            <w:tcW w:w="1587" w:type="dxa"/>
            <w:vAlign w:val="center"/>
          </w:tcPr>
          <w:p>
            <w:pPr>
              <w:pStyle w:val="14"/>
            </w:pPr>
            <w:r>
              <w:t>其中：财政    资金</w:t>
            </w:r>
          </w:p>
        </w:tc>
        <w:tc>
          <w:tcPr>
            <w:tcW w:w="1304" w:type="dxa"/>
            <w:vAlign w:val="center"/>
          </w:tcPr>
          <w:p>
            <w:pPr>
              <w:pStyle w:val="13"/>
            </w:pPr>
            <w:r>
              <w:t>70.00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用来支付法律援助中心的律师值班费支出。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1.通过整合律师、法律援助、人民调解等资源，为人民群众提供公共法律服务。</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安排律师值班次数</w:t>
            </w:r>
          </w:p>
        </w:tc>
        <w:tc>
          <w:tcPr>
            <w:tcW w:w="2891" w:type="dxa"/>
            <w:vAlign w:val="center"/>
          </w:tcPr>
          <w:p>
            <w:pPr>
              <w:pStyle w:val="13"/>
            </w:pPr>
            <w:r>
              <w:t>安排律师值班次数</w:t>
            </w:r>
          </w:p>
        </w:tc>
        <w:tc>
          <w:tcPr>
            <w:tcW w:w="1276" w:type="dxa"/>
            <w:vAlign w:val="center"/>
          </w:tcPr>
          <w:p>
            <w:pPr>
              <w:pStyle w:val="13"/>
            </w:pPr>
            <w:r>
              <w:t>≥80次</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案件补贴验收合格率</w:t>
            </w:r>
          </w:p>
        </w:tc>
        <w:tc>
          <w:tcPr>
            <w:tcW w:w="2891" w:type="dxa"/>
            <w:vAlign w:val="center"/>
          </w:tcPr>
          <w:p>
            <w:pPr>
              <w:pStyle w:val="13"/>
            </w:pPr>
            <w:r>
              <w:t>案件补贴验收合格率</w:t>
            </w:r>
          </w:p>
        </w:tc>
        <w:tc>
          <w:tcPr>
            <w:tcW w:w="1276" w:type="dxa"/>
            <w:vAlign w:val="center"/>
          </w:tcPr>
          <w:p>
            <w:pPr>
              <w:pStyle w:val="13"/>
            </w:pPr>
            <w:r>
              <w:t>100%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现场服务等待时间</w:t>
            </w:r>
          </w:p>
        </w:tc>
        <w:tc>
          <w:tcPr>
            <w:tcW w:w="2891" w:type="dxa"/>
            <w:vAlign w:val="center"/>
          </w:tcPr>
          <w:p>
            <w:pPr>
              <w:pStyle w:val="13"/>
            </w:pPr>
            <w:r>
              <w:t>现场服务等待时间</w:t>
            </w:r>
          </w:p>
        </w:tc>
        <w:tc>
          <w:tcPr>
            <w:tcW w:w="1276" w:type="dxa"/>
            <w:vAlign w:val="center"/>
          </w:tcPr>
          <w:p>
            <w:pPr>
              <w:pStyle w:val="13"/>
            </w:pPr>
            <w:r>
              <w:t>≤20分钟</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公共法律服务业务费支出总成本</w:t>
            </w:r>
          </w:p>
        </w:tc>
        <w:tc>
          <w:tcPr>
            <w:tcW w:w="2891" w:type="dxa"/>
            <w:vAlign w:val="center"/>
          </w:tcPr>
          <w:p>
            <w:pPr>
              <w:pStyle w:val="13"/>
            </w:pPr>
            <w:r>
              <w:t>公共法律服务业务费支出总成本</w:t>
            </w:r>
          </w:p>
        </w:tc>
        <w:tc>
          <w:tcPr>
            <w:tcW w:w="1276" w:type="dxa"/>
            <w:vAlign w:val="center"/>
          </w:tcPr>
          <w:p>
            <w:pPr>
              <w:pStyle w:val="13"/>
            </w:pPr>
            <w:r>
              <w:t>&lt;70万元</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服务群众人数</w:t>
            </w:r>
          </w:p>
        </w:tc>
        <w:tc>
          <w:tcPr>
            <w:tcW w:w="2891" w:type="dxa"/>
            <w:vAlign w:val="center"/>
          </w:tcPr>
          <w:p>
            <w:pPr>
              <w:pStyle w:val="13"/>
            </w:pPr>
            <w:r>
              <w:t>服务群众人数</w:t>
            </w:r>
          </w:p>
        </w:tc>
        <w:tc>
          <w:tcPr>
            <w:tcW w:w="1276" w:type="dxa"/>
            <w:vAlign w:val="center"/>
          </w:tcPr>
          <w:p>
            <w:pPr>
              <w:pStyle w:val="13"/>
            </w:pPr>
            <w:r>
              <w:t>≥500人数</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值班律师满意度</w:t>
            </w:r>
          </w:p>
        </w:tc>
        <w:tc>
          <w:tcPr>
            <w:tcW w:w="2891" w:type="dxa"/>
            <w:vAlign w:val="center"/>
          </w:tcPr>
          <w:p>
            <w:pPr>
              <w:pStyle w:val="13"/>
            </w:pPr>
            <w:r>
              <w:t>值班律师满意度</w:t>
            </w:r>
          </w:p>
        </w:tc>
        <w:tc>
          <w:tcPr>
            <w:tcW w:w="1276" w:type="dxa"/>
            <w:vAlign w:val="center"/>
          </w:tcPr>
          <w:p>
            <w:pPr>
              <w:pStyle w:val="13"/>
            </w:pPr>
            <w:r>
              <w:t>≥90%</w:t>
            </w:r>
          </w:p>
        </w:tc>
        <w:tc>
          <w:tcPr>
            <w:tcW w:w="1843" w:type="dxa"/>
            <w:vAlign w:val="center"/>
          </w:tcPr>
          <w:p>
            <w:pPr>
              <w:pStyle w:val="13"/>
            </w:pPr>
            <w:r>
              <w:t>工作计划</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9" w:name="_Toc_4_4_0000000010"/>
      <w:r>
        <w:rPr>
          <w:rFonts w:ascii="方正仿宋_GBK" w:hAnsi="方正仿宋_GBK" w:eastAsia="方正仿宋_GBK" w:cs="方正仿宋_GBK"/>
          <w:color w:val="000000"/>
          <w:sz w:val="28"/>
        </w:rPr>
        <w:t>7.基层司法业务支出绩效目标表</w:t>
      </w:r>
      <w:bookmarkEnd w:id="9"/>
    </w:p>
    <w:tbl>
      <w:tblPr>
        <w:tblStyle w:val="5"/>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307001唐山市司法局本级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13020026P00F48410003R</w:t>
            </w:r>
          </w:p>
        </w:tc>
        <w:tc>
          <w:tcPr>
            <w:tcW w:w="1587" w:type="dxa"/>
            <w:vAlign w:val="center"/>
          </w:tcPr>
          <w:p>
            <w:pPr>
              <w:pStyle w:val="14"/>
            </w:pPr>
            <w:r>
              <w:t>项目名称</w:t>
            </w:r>
          </w:p>
        </w:tc>
        <w:tc>
          <w:tcPr>
            <w:tcW w:w="4423" w:type="dxa"/>
            <w:gridSpan w:val="3"/>
            <w:vAlign w:val="center"/>
          </w:tcPr>
          <w:p>
            <w:pPr>
              <w:pStyle w:val="13"/>
            </w:pPr>
            <w:r>
              <w:t>基层司法业务支出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2.00</w:t>
            </w:r>
          </w:p>
        </w:tc>
        <w:tc>
          <w:tcPr>
            <w:tcW w:w="1587" w:type="dxa"/>
            <w:vAlign w:val="center"/>
          </w:tcPr>
          <w:p>
            <w:pPr>
              <w:pStyle w:val="14"/>
            </w:pPr>
            <w:r>
              <w:t>其中：财政    资金</w:t>
            </w:r>
          </w:p>
        </w:tc>
        <w:tc>
          <w:tcPr>
            <w:tcW w:w="1304" w:type="dxa"/>
            <w:vAlign w:val="center"/>
          </w:tcPr>
          <w:p>
            <w:pPr>
              <w:pStyle w:val="13"/>
            </w:pPr>
            <w:r>
              <w:t>2.00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该项目资金用于基层司法业务支出费用。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1.该经费用来支付基层司法业务支出。</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基层司法业务指导数量</w:t>
            </w:r>
          </w:p>
        </w:tc>
        <w:tc>
          <w:tcPr>
            <w:tcW w:w="2891" w:type="dxa"/>
            <w:vAlign w:val="center"/>
          </w:tcPr>
          <w:p>
            <w:pPr>
              <w:pStyle w:val="13"/>
            </w:pPr>
            <w:r>
              <w:t>基层司法业务指导数量</w:t>
            </w:r>
          </w:p>
        </w:tc>
        <w:tc>
          <w:tcPr>
            <w:tcW w:w="1276" w:type="dxa"/>
            <w:vAlign w:val="center"/>
          </w:tcPr>
          <w:p>
            <w:pPr>
              <w:pStyle w:val="13"/>
            </w:pPr>
            <w:r>
              <w:t>≥10次</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基层法律服务投诉完结率</w:t>
            </w:r>
          </w:p>
        </w:tc>
        <w:tc>
          <w:tcPr>
            <w:tcW w:w="2891" w:type="dxa"/>
            <w:vAlign w:val="center"/>
          </w:tcPr>
          <w:p>
            <w:pPr>
              <w:pStyle w:val="13"/>
            </w:pPr>
            <w:r>
              <w:t>基层法律服务投诉完结率</w:t>
            </w:r>
          </w:p>
        </w:tc>
        <w:tc>
          <w:tcPr>
            <w:tcW w:w="1276" w:type="dxa"/>
            <w:vAlign w:val="center"/>
          </w:tcPr>
          <w:p>
            <w:pPr>
              <w:pStyle w:val="13"/>
            </w:pPr>
            <w:r>
              <w:t>≥90%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基层司法数据报送及时性</w:t>
            </w:r>
          </w:p>
        </w:tc>
        <w:tc>
          <w:tcPr>
            <w:tcW w:w="2891" w:type="dxa"/>
            <w:vAlign w:val="center"/>
          </w:tcPr>
          <w:p>
            <w:pPr>
              <w:pStyle w:val="13"/>
            </w:pPr>
            <w:r>
              <w:t>基层司法数据报送及时性</w:t>
            </w:r>
          </w:p>
        </w:tc>
        <w:tc>
          <w:tcPr>
            <w:tcW w:w="1276" w:type="dxa"/>
            <w:vAlign w:val="center"/>
          </w:tcPr>
          <w:p>
            <w:pPr>
              <w:pStyle w:val="13"/>
            </w:pPr>
            <w:r>
              <w:t>≥95%</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单次基层司法业务指导成本</w:t>
            </w:r>
          </w:p>
        </w:tc>
        <w:tc>
          <w:tcPr>
            <w:tcW w:w="2891" w:type="dxa"/>
            <w:vAlign w:val="center"/>
          </w:tcPr>
          <w:p>
            <w:pPr>
              <w:pStyle w:val="13"/>
            </w:pPr>
            <w:r>
              <w:t>单次基层司法业务指导成本</w:t>
            </w:r>
          </w:p>
        </w:tc>
        <w:tc>
          <w:tcPr>
            <w:tcW w:w="1276" w:type="dxa"/>
            <w:vAlign w:val="center"/>
          </w:tcPr>
          <w:p>
            <w:pPr>
              <w:pStyle w:val="13"/>
            </w:pPr>
            <w:r>
              <w:t>&lt;2000元</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提升基层业务能力</w:t>
            </w:r>
          </w:p>
        </w:tc>
        <w:tc>
          <w:tcPr>
            <w:tcW w:w="2891" w:type="dxa"/>
            <w:vAlign w:val="center"/>
          </w:tcPr>
          <w:p>
            <w:pPr>
              <w:pStyle w:val="13"/>
            </w:pPr>
            <w:r>
              <w:t>提升基层业务能力</w:t>
            </w:r>
          </w:p>
        </w:tc>
        <w:tc>
          <w:tcPr>
            <w:tcW w:w="1276" w:type="dxa"/>
            <w:vAlign w:val="center"/>
          </w:tcPr>
          <w:p>
            <w:pPr>
              <w:pStyle w:val="13"/>
            </w:pPr>
            <w:r>
              <w:t>≥10%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基层业务科室满意度</w:t>
            </w:r>
          </w:p>
        </w:tc>
        <w:tc>
          <w:tcPr>
            <w:tcW w:w="2891" w:type="dxa"/>
            <w:vAlign w:val="center"/>
          </w:tcPr>
          <w:p>
            <w:pPr>
              <w:pStyle w:val="13"/>
            </w:pPr>
            <w:r>
              <w:t>基层业务科室满意度</w:t>
            </w:r>
          </w:p>
        </w:tc>
        <w:tc>
          <w:tcPr>
            <w:tcW w:w="1276" w:type="dxa"/>
            <w:vAlign w:val="center"/>
          </w:tcPr>
          <w:p>
            <w:pPr>
              <w:pStyle w:val="13"/>
            </w:pPr>
            <w:r>
              <w:t>≥90%</w:t>
            </w:r>
          </w:p>
        </w:tc>
        <w:tc>
          <w:tcPr>
            <w:tcW w:w="1843" w:type="dxa"/>
            <w:vAlign w:val="center"/>
          </w:tcPr>
          <w:p>
            <w:pPr>
              <w:pStyle w:val="13"/>
            </w:pPr>
            <w:r>
              <w:t>工作计划</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0" w:name="_Toc_4_4_0000000011"/>
      <w:r>
        <w:rPr>
          <w:rFonts w:ascii="方正仿宋_GBK" w:hAnsi="方正仿宋_GBK" w:eastAsia="方正仿宋_GBK" w:cs="方正仿宋_GBK"/>
          <w:color w:val="000000"/>
          <w:sz w:val="28"/>
        </w:rPr>
        <w:t>8.普法业务费绩效目标表</w:t>
      </w:r>
      <w:bookmarkEnd w:id="10"/>
    </w:p>
    <w:tbl>
      <w:tblPr>
        <w:tblStyle w:val="5"/>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307001唐山市司法局本级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13020026P008242100030</w:t>
            </w:r>
          </w:p>
        </w:tc>
        <w:tc>
          <w:tcPr>
            <w:tcW w:w="1587" w:type="dxa"/>
            <w:vAlign w:val="center"/>
          </w:tcPr>
          <w:p>
            <w:pPr>
              <w:pStyle w:val="14"/>
            </w:pPr>
            <w:r>
              <w:t>项目名称</w:t>
            </w:r>
          </w:p>
        </w:tc>
        <w:tc>
          <w:tcPr>
            <w:tcW w:w="4423" w:type="dxa"/>
            <w:gridSpan w:val="3"/>
            <w:vAlign w:val="center"/>
          </w:tcPr>
          <w:p>
            <w:pPr>
              <w:pStyle w:val="13"/>
            </w:pPr>
            <w:r>
              <w:t>普法业务费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28.38</w:t>
            </w:r>
          </w:p>
        </w:tc>
        <w:tc>
          <w:tcPr>
            <w:tcW w:w="1587" w:type="dxa"/>
            <w:vAlign w:val="center"/>
          </w:tcPr>
          <w:p>
            <w:pPr>
              <w:pStyle w:val="14"/>
            </w:pPr>
            <w:r>
              <w:t>其中：财政    资金</w:t>
            </w:r>
          </w:p>
        </w:tc>
        <w:tc>
          <w:tcPr>
            <w:tcW w:w="1304" w:type="dxa"/>
            <w:vAlign w:val="center"/>
          </w:tcPr>
          <w:p>
            <w:pPr>
              <w:pStyle w:val="13"/>
            </w:pPr>
            <w:r>
              <w:t>28.38</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支付普法业务费支出。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1.保障2026年全市普法依法治理工作顺利实施。</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开展普法活动次数</w:t>
            </w:r>
          </w:p>
        </w:tc>
        <w:tc>
          <w:tcPr>
            <w:tcW w:w="2891" w:type="dxa"/>
            <w:vAlign w:val="center"/>
          </w:tcPr>
          <w:p>
            <w:pPr>
              <w:pStyle w:val="13"/>
            </w:pPr>
            <w:r>
              <w:t>开展普法活动次数</w:t>
            </w:r>
          </w:p>
        </w:tc>
        <w:tc>
          <w:tcPr>
            <w:tcW w:w="1276" w:type="dxa"/>
            <w:vAlign w:val="center"/>
          </w:tcPr>
          <w:p>
            <w:pPr>
              <w:pStyle w:val="13"/>
            </w:pPr>
            <w:r>
              <w:t>≥5次</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普法宣传普及率</w:t>
            </w:r>
          </w:p>
        </w:tc>
        <w:tc>
          <w:tcPr>
            <w:tcW w:w="2891" w:type="dxa"/>
            <w:vAlign w:val="center"/>
          </w:tcPr>
          <w:p>
            <w:pPr>
              <w:pStyle w:val="13"/>
            </w:pPr>
            <w:r>
              <w:t>普法宣传普及率</w:t>
            </w:r>
          </w:p>
        </w:tc>
        <w:tc>
          <w:tcPr>
            <w:tcW w:w="1276" w:type="dxa"/>
            <w:vAlign w:val="center"/>
          </w:tcPr>
          <w:p>
            <w:pPr>
              <w:pStyle w:val="13"/>
            </w:pPr>
            <w:r>
              <w:t>≥90%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重点工作完成及时性</w:t>
            </w:r>
          </w:p>
        </w:tc>
        <w:tc>
          <w:tcPr>
            <w:tcW w:w="2891" w:type="dxa"/>
            <w:vAlign w:val="center"/>
          </w:tcPr>
          <w:p>
            <w:pPr>
              <w:pStyle w:val="13"/>
            </w:pPr>
            <w:r>
              <w:t>重点工作完成及时性</w:t>
            </w:r>
          </w:p>
        </w:tc>
        <w:tc>
          <w:tcPr>
            <w:tcW w:w="1276" w:type="dxa"/>
            <w:vAlign w:val="center"/>
          </w:tcPr>
          <w:p>
            <w:pPr>
              <w:pStyle w:val="13"/>
            </w:pPr>
            <w:r>
              <w:t>100%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单次活动成本控制</w:t>
            </w:r>
          </w:p>
        </w:tc>
        <w:tc>
          <w:tcPr>
            <w:tcW w:w="2891" w:type="dxa"/>
            <w:vAlign w:val="center"/>
          </w:tcPr>
          <w:p>
            <w:pPr>
              <w:pStyle w:val="13"/>
            </w:pPr>
            <w:r>
              <w:t>单次活动成本控制</w:t>
            </w:r>
          </w:p>
        </w:tc>
        <w:tc>
          <w:tcPr>
            <w:tcW w:w="1276" w:type="dxa"/>
            <w:vAlign w:val="center"/>
          </w:tcPr>
          <w:p>
            <w:pPr>
              <w:pStyle w:val="13"/>
            </w:pPr>
            <w:r>
              <w:t>&lt;5万元</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基层依法治理提升</w:t>
            </w:r>
          </w:p>
        </w:tc>
        <w:tc>
          <w:tcPr>
            <w:tcW w:w="2891" w:type="dxa"/>
            <w:vAlign w:val="center"/>
          </w:tcPr>
          <w:p>
            <w:pPr>
              <w:pStyle w:val="13"/>
            </w:pPr>
            <w:r>
              <w:t>基层依法治理提升</w:t>
            </w:r>
          </w:p>
        </w:tc>
        <w:tc>
          <w:tcPr>
            <w:tcW w:w="1276" w:type="dxa"/>
            <w:vAlign w:val="center"/>
          </w:tcPr>
          <w:p>
            <w:pPr>
              <w:pStyle w:val="13"/>
            </w:pPr>
            <w:r>
              <w:t>≥20%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普法群众满意度</w:t>
            </w:r>
          </w:p>
        </w:tc>
        <w:tc>
          <w:tcPr>
            <w:tcW w:w="2891" w:type="dxa"/>
            <w:vAlign w:val="center"/>
          </w:tcPr>
          <w:p>
            <w:pPr>
              <w:pStyle w:val="13"/>
            </w:pPr>
            <w:r>
              <w:t>普法群众满意度</w:t>
            </w:r>
          </w:p>
        </w:tc>
        <w:tc>
          <w:tcPr>
            <w:tcW w:w="1276" w:type="dxa"/>
            <w:vAlign w:val="center"/>
          </w:tcPr>
          <w:p>
            <w:pPr>
              <w:pStyle w:val="13"/>
            </w:pPr>
            <w:r>
              <w:t>≥90%</w:t>
            </w:r>
          </w:p>
        </w:tc>
        <w:tc>
          <w:tcPr>
            <w:tcW w:w="1843" w:type="dxa"/>
            <w:vAlign w:val="center"/>
          </w:tcPr>
          <w:p>
            <w:pPr>
              <w:pStyle w:val="13"/>
            </w:pPr>
            <w:r>
              <w:t>工作计划</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1" w:name="_Toc_4_4_0000000012"/>
      <w:r>
        <w:rPr>
          <w:rFonts w:ascii="方正仿宋_GBK" w:hAnsi="方正仿宋_GBK" w:eastAsia="方正仿宋_GBK" w:cs="方正仿宋_GBK"/>
          <w:color w:val="000000"/>
          <w:sz w:val="28"/>
        </w:rPr>
        <w:t>9.普法专业材料费绩效目标表</w:t>
      </w:r>
      <w:bookmarkEnd w:id="11"/>
    </w:p>
    <w:tbl>
      <w:tblPr>
        <w:tblStyle w:val="5"/>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307001唐山市司法局本级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13020026P00844J10003A</w:t>
            </w:r>
          </w:p>
        </w:tc>
        <w:tc>
          <w:tcPr>
            <w:tcW w:w="1587" w:type="dxa"/>
            <w:vAlign w:val="center"/>
          </w:tcPr>
          <w:p>
            <w:pPr>
              <w:pStyle w:val="14"/>
            </w:pPr>
            <w:r>
              <w:t>项目名称</w:t>
            </w:r>
          </w:p>
        </w:tc>
        <w:tc>
          <w:tcPr>
            <w:tcW w:w="4423" w:type="dxa"/>
            <w:gridSpan w:val="3"/>
            <w:vAlign w:val="center"/>
          </w:tcPr>
          <w:p>
            <w:pPr>
              <w:pStyle w:val="13"/>
            </w:pPr>
            <w:r>
              <w:t>普法专业材料费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30.00</w:t>
            </w:r>
          </w:p>
        </w:tc>
        <w:tc>
          <w:tcPr>
            <w:tcW w:w="1587" w:type="dxa"/>
            <w:vAlign w:val="center"/>
          </w:tcPr>
          <w:p>
            <w:pPr>
              <w:pStyle w:val="14"/>
            </w:pPr>
            <w:r>
              <w:t>其中：财政    资金</w:t>
            </w:r>
          </w:p>
        </w:tc>
        <w:tc>
          <w:tcPr>
            <w:tcW w:w="1304" w:type="dxa"/>
            <w:vAlign w:val="center"/>
          </w:tcPr>
          <w:p>
            <w:pPr>
              <w:pStyle w:val="13"/>
            </w:pPr>
            <w:r>
              <w:t>30.00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该项目用来支付普法宣传印刷费。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20%</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1.保障2026年所需普法宣传印刷材料的供给</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印刷品数量</w:t>
            </w:r>
          </w:p>
        </w:tc>
        <w:tc>
          <w:tcPr>
            <w:tcW w:w="2891" w:type="dxa"/>
            <w:vAlign w:val="center"/>
          </w:tcPr>
          <w:p>
            <w:pPr>
              <w:pStyle w:val="13"/>
            </w:pPr>
            <w:r>
              <w:t>印刷品数量</w:t>
            </w:r>
          </w:p>
        </w:tc>
        <w:tc>
          <w:tcPr>
            <w:tcW w:w="1276" w:type="dxa"/>
            <w:vAlign w:val="center"/>
          </w:tcPr>
          <w:p>
            <w:pPr>
              <w:pStyle w:val="13"/>
            </w:pPr>
            <w:r>
              <w:t>≥200份</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印刷品质量合格率</w:t>
            </w:r>
          </w:p>
        </w:tc>
        <w:tc>
          <w:tcPr>
            <w:tcW w:w="2891" w:type="dxa"/>
            <w:vAlign w:val="center"/>
          </w:tcPr>
          <w:p>
            <w:pPr>
              <w:pStyle w:val="13"/>
            </w:pPr>
            <w:r>
              <w:t>印刷品质量合格率</w:t>
            </w:r>
          </w:p>
        </w:tc>
        <w:tc>
          <w:tcPr>
            <w:tcW w:w="1276" w:type="dxa"/>
            <w:vAlign w:val="center"/>
          </w:tcPr>
          <w:p>
            <w:pPr>
              <w:pStyle w:val="13"/>
            </w:pPr>
            <w:r>
              <w:t>≥95%</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交付及时性</w:t>
            </w:r>
          </w:p>
        </w:tc>
        <w:tc>
          <w:tcPr>
            <w:tcW w:w="2891" w:type="dxa"/>
            <w:vAlign w:val="center"/>
          </w:tcPr>
          <w:p>
            <w:pPr>
              <w:pStyle w:val="13"/>
            </w:pPr>
            <w:r>
              <w:t>交付及时性</w:t>
            </w:r>
          </w:p>
        </w:tc>
        <w:tc>
          <w:tcPr>
            <w:tcW w:w="1276" w:type="dxa"/>
            <w:vAlign w:val="center"/>
          </w:tcPr>
          <w:p>
            <w:pPr>
              <w:pStyle w:val="13"/>
            </w:pPr>
            <w:r>
              <w:t>≥95%</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单次印刷活动成本</w:t>
            </w:r>
          </w:p>
        </w:tc>
        <w:tc>
          <w:tcPr>
            <w:tcW w:w="2891" w:type="dxa"/>
            <w:vAlign w:val="center"/>
          </w:tcPr>
          <w:p>
            <w:pPr>
              <w:pStyle w:val="13"/>
            </w:pPr>
            <w:r>
              <w:t>单次印刷活动成本</w:t>
            </w:r>
          </w:p>
        </w:tc>
        <w:tc>
          <w:tcPr>
            <w:tcW w:w="1276" w:type="dxa"/>
            <w:vAlign w:val="center"/>
          </w:tcPr>
          <w:p>
            <w:pPr>
              <w:pStyle w:val="13"/>
            </w:pPr>
            <w:r>
              <w:t>&lt;3万元</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普法普及率</w:t>
            </w:r>
          </w:p>
        </w:tc>
        <w:tc>
          <w:tcPr>
            <w:tcW w:w="2891" w:type="dxa"/>
            <w:vAlign w:val="center"/>
          </w:tcPr>
          <w:p>
            <w:pPr>
              <w:pStyle w:val="13"/>
            </w:pPr>
            <w:r>
              <w:t>普法普及率</w:t>
            </w:r>
          </w:p>
        </w:tc>
        <w:tc>
          <w:tcPr>
            <w:tcW w:w="1276" w:type="dxa"/>
            <w:vAlign w:val="center"/>
          </w:tcPr>
          <w:p>
            <w:pPr>
              <w:pStyle w:val="13"/>
            </w:pPr>
            <w:r>
              <w:t>≥80%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发放人员满意度</w:t>
            </w:r>
          </w:p>
        </w:tc>
        <w:tc>
          <w:tcPr>
            <w:tcW w:w="2891" w:type="dxa"/>
            <w:vAlign w:val="center"/>
          </w:tcPr>
          <w:p>
            <w:pPr>
              <w:pStyle w:val="13"/>
            </w:pPr>
            <w:r>
              <w:t>发放人员满意度</w:t>
            </w:r>
          </w:p>
        </w:tc>
        <w:tc>
          <w:tcPr>
            <w:tcW w:w="1276" w:type="dxa"/>
            <w:vAlign w:val="center"/>
          </w:tcPr>
          <w:p>
            <w:pPr>
              <w:pStyle w:val="13"/>
            </w:pPr>
            <w:r>
              <w:t>≥90%</w:t>
            </w:r>
          </w:p>
        </w:tc>
        <w:tc>
          <w:tcPr>
            <w:tcW w:w="1843" w:type="dxa"/>
            <w:vAlign w:val="center"/>
          </w:tcPr>
          <w:p>
            <w:pPr>
              <w:pStyle w:val="13"/>
            </w:pPr>
            <w:r>
              <w:t>工作计划</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2" w:name="_Toc_4_4_0000000013"/>
      <w:r>
        <w:rPr>
          <w:rFonts w:ascii="方正仿宋_GBK" w:hAnsi="方正仿宋_GBK" w:eastAsia="方正仿宋_GBK" w:cs="方正仿宋_GBK"/>
          <w:color w:val="000000"/>
          <w:sz w:val="28"/>
        </w:rPr>
        <w:t>10.全市行政执法人员考务费绩效目标表</w:t>
      </w:r>
      <w:bookmarkEnd w:id="12"/>
    </w:p>
    <w:tbl>
      <w:tblPr>
        <w:tblStyle w:val="5"/>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307001唐山市司法局本级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13020026P0086X210003K</w:t>
            </w:r>
          </w:p>
        </w:tc>
        <w:tc>
          <w:tcPr>
            <w:tcW w:w="1587" w:type="dxa"/>
            <w:vAlign w:val="center"/>
          </w:tcPr>
          <w:p>
            <w:pPr>
              <w:pStyle w:val="14"/>
            </w:pPr>
            <w:r>
              <w:t>项目名称</w:t>
            </w:r>
          </w:p>
        </w:tc>
        <w:tc>
          <w:tcPr>
            <w:tcW w:w="4423" w:type="dxa"/>
            <w:gridSpan w:val="3"/>
            <w:vAlign w:val="center"/>
          </w:tcPr>
          <w:p>
            <w:pPr>
              <w:pStyle w:val="13"/>
            </w:pPr>
            <w:r>
              <w:t>全市行政执法人员考务费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45.00</w:t>
            </w:r>
          </w:p>
        </w:tc>
        <w:tc>
          <w:tcPr>
            <w:tcW w:w="1587" w:type="dxa"/>
            <w:vAlign w:val="center"/>
          </w:tcPr>
          <w:p>
            <w:pPr>
              <w:pStyle w:val="14"/>
            </w:pPr>
            <w:r>
              <w:t>其中：财政    资金</w:t>
            </w:r>
          </w:p>
        </w:tc>
        <w:tc>
          <w:tcPr>
            <w:tcW w:w="1304" w:type="dxa"/>
            <w:vAlign w:val="center"/>
          </w:tcPr>
          <w:p>
            <w:pPr>
              <w:pStyle w:val="13"/>
            </w:pPr>
            <w:r>
              <w:t>45.00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该项目资金主要用来支付执法证考试费用支出。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100%</w:t>
            </w:r>
          </w:p>
        </w:tc>
        <w:tc>
          <w:tcPr>
            <w:tcW w:w="3119"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1.保障2026年度全市行政执法人员资格培训与考试工作顺利实施。</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组织行政执法人员资格考试</w:t>
            </w:r>
          </w:p>
        </w:tc>
        <w:tc>
          <w:tcPr>
            <w:tcW w:w="2891" w:type="dxa"/>
            <w:vAlign w:val="center"/>
          </w:tcPr>
          <w:p>
            <w:pPr>
              <w:pStyle w:val="13"/>
            </w:pPr>
            <w:r>
              <w:t>组织行政执法人员资格考试</w:t>
            </w:r>
          </w:p>
        </w:tc>
        <w:tc>
          <w:tcPr>
            <w:tcW w:w="1276" w:type="dxa"/>
            <w:vAlign w:val="center"/>
          </w:tcPr>
          <w:p>
            <w:pPr>
              <w:pStyle w:val="13"/>
            </w:pPr>
            <w:r>
              <w:t>1次</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参训人员考试合格率</w:t>
            </w:r>
          </w:p>
        </w:tc>
        <w:tc>
          <w:tcPr>
            <w:tcW w:w="2891" w:type="dxa"/>
            <w:vAlign w:val="center"/>
          </w:tcPr>
          <w:p>
            <w:pPr>
              <w:pStyle w:val="13"/>
            </w:pPr>
            <w:r>
              <w:t>参训人员考试合格率</w:t>
            </w:r>
          </w:p>
        </w:tc>
        <w:tc>
          <w:tcPr>
            <w:tcW w:w="1276" w:type="dxa"/>
            <w:vAlign w:val="center"/>
          </w:tcPr>
          <w:p>
            <w:pPr>
              <w:pStyle w:val="13"/>
            </w:pPr>
            <w:r>
              <w:t>≥80%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培训与考务工作按年度计划时间节点完成率</w:t>
            </w:r>
          </w:p>
        </w:tc>
        <w:tc>
          <w:tcPr>
            <w:tcW w:w="2891" w:type="dxa"/>
            <w:vAlign w:val="center"/>
          </w:tcPr>
          <w:p>
            <w:pPr>
              <w:pStyle w:val="13"/>
            </w:pPr>
            <w:r>
              <w:t>培训与考务工作按年度计划时间节点完成率</w:t>
            </w:r>
          </w:p>
        </w:tc>
        <w:tc>
          <w:tcPr>
            <w:tcW w:w="1276" w:type="dxa"/>
            <w:vAlign w:val="center"/>
          </w:tcPr>
          <w:p>
            <w:pPr>
              <w:pStyle w:val="13"/>
            </w:pPr>
            <w:r>
              <w:t>100%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执法证考试培训考务费总成本</w:t>
            </w:r>
          </w:p>
        </w:tc>
        <w:tc>
          <w:tcPr>
            <w:tcW w:w="2891" w:type="dxa"/>
            <w:vAlign w:val="center"/>
          </w:tcPr>
          <w:p>
            <w:pPr>
              <w:pStyle w:val="13"/>
            </w:pPr>
            <w:r>
              <w:t>执法证考试培训考务费总成本</w:t>
            </w:r>
          </w:p>
        </w:tc>
        <w:tc>
          <w:tcPr>
            <w:tcW w:w="1276" w:type="dxa"/>
            <w:vAlign w:val="center"/>
          </w:tcPr>
          <w:p>
            <w:pPr>
              <w:pStyle w:val="13"/>
            </w:pPr>
            <w:r>
              <w:t>≤45万元</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获得执法证的执法人员</w:t>
            </w:r>
          </w:p>
        </w:tc>
        <w:tc>
          <w:tcPr>
            <w:tcW w:w="2891" w:type="dxa"/>
            <w:vAlign w:val="center"/>
          </w:tcPr>
          <w:p>
            <w:pPr>
              <w:pStyle w:val="13"/>
            </w:pPr>
            <w:r>
              <w:t>获得执法证的执法人员</w:t>
            </w:r>
          </w:p>
        </w:tc>
        <w:tc>
          <w:tcPr>
            <w:tcW w:w="1276" w:type="dxa"/>
            <w:vAlign w:val="center"/>
          </w:tcPr>
          <w:p>
            <w:pPr>
              <w:pStyle w:val="13"/>
            </w:pPr>
            <w:r>
              <w:t>≥500人次</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执法人员满意度</w:t>
            </w:r>
          </w:p>
        </w:tc>
        <w:tc>
          <w:tcPr>
            <w:tcW w:w="2891" w:type="dxa"/>
            <w:vAlign w:val="center"/>
          </w:tcPr>
          <w:p>
            <w:pPr>
              <w:pStyle w:val="13"/>
            </w:pPr>
            <w:r>
              <w:t>执法人员对执法证考试的满意度</w:t>
            </w:r>
          </w:p>
        </w:tc>
        <w:tc>
          <w:tcPr>
            <w:tcW w:w="1276" w:type="dxa"/>
            <w:vAlign w:val="center"/>
          </w:tcPr>
          <w:p>
            <w:pPr>
              <w:pStyle w:val="13"/>
            </w:pPr>
            <w:r>
              <w:t>≥90%</w:t>
            </w:r>
          </w:p>
        </w:tc>
        <w:tc>
          <w:tcPr>
            <w:tcW w:w="1843" w:type="dxa"/>
            <w:vAlign w:val="center"/>
          </w:tcPr>
          <w:p>
            <w:pPr>
              <w:pStyle w:val="13"/>
            </w:pPr>
            <w:r>
              <w:t>工作计划</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3" w:name="_Toc_4_4_0000000014"/>
      <w:r>
        <w:rPr>
          <w:rFonts w:ascii="方正仿宋_GBK" w:hAnsi="方正仿宋_GBK" w:eastAsia="方正仿宋_GBK" w:cs="方正仿宋_GBK"/>
          <w:color w:val="000000"/>
          <w:sz w:val="28"/>
        </w:rPr>
        <w:t>11.人民调解业务费绩效目标表</w:t>
      </w:r>
      <w:bookmarkEnd w:id="13"/>
    </w:p>
    <w:tbl>
      <w:tblPr>
        <w:tblStyle w:val="5"/>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307001唐山市司法局本级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13020026P0064BC10003M</w:t>
            </w:r>
          </w:p>
        </w:tc>
        <w:tc>
          <w:tcPr>
            <w:tcW w:w="1587" w:type="dxa"/>
            <w:vAlign w:val="center"/>
          </w:tcPr>
          <w:p>
            <w:pPr>
              <w:pStyle w:val="14"/>
            </w:pPr>
            <w:r>
              <w:t>项目名称</w:t>
            </w:r>
          </w:p>
        </w:tc>
        <w:tc>
          <w:tcPr>
            <w:tcW w:w="4423" w:type="dxa"/>
            <w:gridSpan w:val="3"/>
            <w:vAlign w:val="center"/>
          </w:tcPr>
          <w:p>
            <w:pPr>
              <w:pStyle w:val="13"/>
            </w:pPr>
            <w:r>
              <w:t>人民调解业务费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8.10</w:t>
            </w:r>
          </w:p>
        </w:tc>
        <w:tc>
          <w:tcPr>
            <w:tcW w:w="1587" w:type="dxa"/>
            <w:vAlign w:val="center"/>
          </w:tcPr>
          <w:p>
            <w:pPr>
              <w:pStyle w:val="14"/>
            </w:pPr>
            <w:r>
              <w:t>其中：财政    资金</w:t>
            </w:r>
          </w:p>
        </w:tc>
        <w:tc>
          <w:tcPr>
            <w:tcW w:w="1304" w:type="dxa"/>
            <w:vAlign w:val="center"/>
          </w:tcPr>
          <w:p>
            <w:pPr>
              <w:pStyle w:val="13"/>
            </w:pPr>
            <w:r>
              <w:t>8.10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该项目资金用来支付人民调解员费用。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1.通过政府购买服务，选聘人民调解员，充实队伍力量，开展慢炖纠纷排查余调解工作。</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受理案件数</w:t>
            </w:r>
          </w:p>
        </w:tc>
        <w:tc>
          <w:tcPr>
            <w:tcW w:w="2891" w:type="dxa"/>
            <w:vAlign w:val="center"/>
          </w:tcPr>
          <w:p>
            <w:pPr>
              <w:pStyle w:val="13"/>
            </w:pPr>
            <w:r>
              <w:t>受理行政调解纠纷案件</w:t>
            </w:r>
          </w:p>
        </w:tc>
        <w:tc>
          <w:tcPr>
            <w:tcW w:w="1276" w:type="dxa"/>
            <w:vAlign w:val="center"/>
          </w:tcPr>
          <w:p>
            <w:pPr>
              <w:pStyle w:val="13"/>
            </w:pPr>
            <w:r>
              <w:t>≥180件</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案件调解成功率</w:t>
            </w:r>
          </w:p>
        </w:tc>
        <w:tc>
          <w:tcPr>
            <w:tcW w:w="2891" w:type="dxa"/>
            <w:vAlign w:val="center"/>
          </w:tcPr>
          <w:p>
            <w:pPr>
              <w:pStyle w:val="13"/>
            </w:pPr>
            <w:r>
              <w:t>纠纷案件调解成功率</w:t>
            </w:r>
          </w:p>
        </w:tc>
        <w:tc>
          <w:tcPr>
            <w:tcW w:w="1276" w:type="dxa"/>
            <w:vAlign w:val="center"/>
          </w:tcPr>
          <w:p>
            <w:pPr>
              <w:pStyle w:val="13"/>
            </w:pPr>
            <w:r>
              <w:t>≥90%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经费支出时间</w:t>
            </w:r>
          </w:p>
        </w:tc>
        <w:tc>
          <w:tcPr>
            <w:tcW w:w="2891" w:type="dxa"/>
            <w:vAlign w:val="center"/>
          </w:tcPr>
          <w:p>
            <w:pPr>
              <w:pStyle w:val="13"/>
            </w:pPr>
            <w:r>
              <w:t>经费支出时间</w:t>
            </w:r>
          </w:p>
        </w:tc>
        <w:tc>
          <w:tcPr>
            <w:tcW w:w="1276" w:type="dxa"/>
            <w:vAlign w:val="center"/>
          </w:tcPr>
          <w:p>
            <w:pPr>
              <w:pStyle w:val="13"/>
            </w:pPr>
            <w:r>
              <w:t>2026年12月前支出</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单次人民调解成本</w:t>
            </w:r>
          </w:p>
        </w:tc>
        <w:tc>
          <w:tcPr>
            <w:tcW w:w="2891" w:type="dxa"/>
            <w:vAlign w:val="center"/>
          </w:tcPr>
          <w:p>
            <w:pPr>
              <w:pStyle w:val="13"/>
            </w:pPr>
            <w:r>
              <w:t>单次人民调解成本</w:t>
            </w:r>
          </w:p>
        </w:tc>
        <w:tc>
          <w:tcPr>
            <w:tcW w:w="1276" w:type="dxa"/>
            <w:vAlign w:val="center"/>
          </w:tcPr>
          <w:p>
            <w:pPr>
              <w:pStyle w:val="13"/>
            </w:pPr>
            <w:r>
              <w:t>≤5000元</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保障工作正常开展率</w:t>
            </w:r>
          </w:p>
        </w:tc>
        <w:tc>
          <w:tcPr>
            <w:tcW w:w="2891" w:type="dxa"/>
            <w:vAlign w:val="center"/>
          </w:tcPr>
          <w:p>
            <w:pPr>
              <w:pStyle w:val="13"/>
            </w:pPr>
            <w:r>
              <w:t>保障工作正常开展率</w:t>
            </w:r>
          </w:p>
        </w:tc>
        <w:tc>
          <w:tcPr>
            <w:tcW w:w="1276" w:type="dxa"/>
            <w:vAlign w:val="center"/>
          </w:tcPr>
          <w:p>
            <w:pPr>
              <w:pStyle w:val="13"/>
            </w:pPr>
            <w:r>
              <w:t>100%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纠纷当事人满意度</w:t>
            </w:r>
          </w:p>
        </w:tc>
        <w:tc>
          <w:tcPr>
            <w:tcW w:w="2891" w:type="dxa"/>
            <w:vAlign w:val="center"/>
          </w:tcPr>
          <w:p>
            <w:pPr>
              <w:pStyle w:val="13"/>
            </w:pPr>
            <w:r>
              <w:t>纠纷当事人满意度</w:t>
            </w:r>
          </w:p>
        </w:tc>
        <w:tc>
          <w:tcPr>
            <w:tcW w:w="1276" w:type="dxa"/>
            <w:vAlign w:val="center"/>
          </w:tcPr>
          <w:p>
            <w:pPr>
              <w:pStyle w:val="13"/>
            </w:pPr>
            <w:r>
              <w:t>≥90%</w:t>
            </w:r>
          </w:p>
        </w:tc>
        <w:tc>
          <w:tcPr>
            <w:tcW w:w="1843" w:type="dxa"/>
            <w:vAlign w:val="center"/>
          </w:tcPr>
          <w:p>
            <w:pPr>
              <w:pStyle w:val="13"/>
            </w:pPr>
            <w:r>
              <w:t>工作计划</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4" w:name="_Toc_4_4_0000000015"/>
      <w:r>
        <w:rPr>
          <w:rFonts w:ascii="方正仿宋_GBK" w:hAnsi="方正仿宋_GBK" w:eastAsia="方正仿宋_GBK" w:cs="方正仿宋_GBK"/>
          <w:color w:val="000000"/>
          <w:sz w:val="28"/>
        </w:rPr>
        <w:t>12.人民监督员管理工作经费绩效目标表</w:t>
      </w:r>
      <w:bookmarkEnd w:id="14"/>
    </w:p>
    <w:tbl>
      <w:tblPr>
        <w:tblStyle w:val="5"/>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307001唐山市司法局本级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13020026P004EP010003G</w:t>
            </w:r>
          </w:p>
        </w:tc>
        <w:tc>
          <w:tcPr>
            <w:tcW w:w="1587" w:type="dxa"/>
            <w:vAlign w:val="center"/>
          </w:tcPr>
          <w:p>
            <w:pPr>
              <w:pStyle w:val="14"/>
            </w:pPr>
            <w:r>
              <w:t>项目名称</w:t>
            </w:r>
          </w:p>
        </w:tc>
        <w:tc>
          <w:tcPr>
            <w:tcW w:w="4423" w:type="dxa"/>
            <w:gridSpan w:val="3"/>
            <w:vAlign w:val="center"/>
          </w:tcPr>
          <w:p>
            <w:pPr>
              <w:pStyle w:val="13"/>
            </w:pPr>
            <w:r>
              <w:t>人民监督员管理工作经费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17.50</w:t>
            </w:r>
          </w:p>
        </w:tc>
        <w:tc>
          <w:tcPr>
            <w:tcW w:w="1587" w:type="dxa"/>
            <w:vAlign w:val="center"/>
          </w:tcPr>
          <w:p>
            <w:pPr>
              <w:pStyle w:val="14"/>
            </w:pPr>
            <w:r>
              <w:t>其中：财政    资金</w:t>
            </w:r>
          </w:p>
        </w:tc>
        <w:tc>
          <w:tcPr>
            <w:tcW w:w="1304" w:type="dxa"/>
            <w:vAlign w:val="center"/>
          </w:tcPr>
          <w:p>
            <w:pPr>
              <w:pStyle w:val="13"/>
            </w:pPr>
            <w:r>
              <w:t>17.50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该项目用来支付人民监督员工作补贴。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1.该项目用来支付人民监督员的工作补贴，确保人民监督员制度有效运行。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案件监督评议次数</w:t>
            </w:r>
          </w:p>
        </w:tc>
        <w:tc>
          <w:tcPr>
            <w:tcW w:w="2891" w:type="dxa"/>
            <w:vAlign w:val="center"/>
          </w:tcPr>
          <w:p>
            <w:pPr>
              <w:pStyle w:val="13"/>
            </w:pPr>
            <w:r>
              <w:t>组织人民监督员参与案件监督评议次数</w:t>
            </w:r>
          </w:p>
        </w:tc>
        <w:tc>
          <w:tcPr>
            <w:tcW w:w="1276" w:type="dxa"/>
            <w:vAlign w:val="center"/>
          </w:tcPr>
          <w:p>
            <w:pPr>
              <w:pStyle w:val="13"/>
            </w:pPr>
            <w:r>
              <w:t>≥200次</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活动组织规范率</w:t>
            </w:r>
          </w:p>
        </w:tc>
        <w:tc>
          <w:tcPr>
            <w:tcW w:w="2891" w:type="dxa"/>
            <w:vAlign w:val="center"/>
          </w:tcPr>
          <w:p>
            <w:pPr>
              <w:pStyle w:val="13"/>
            </w:pPr>
            <w:r>
              <w:t>监督评议活动组织规范率</w:t>
            </w:r>
          </w:p>
        </w:tc>
        <w:tc>
          <w:tcPr>
            <w:tcW w:w="1276" w:type="dxa"/>
            <w:vAlign w:val="center"/>
          </w:tcPr>
          <w:p>
            <w:pPr>
              <w:pStyle w:val="13"/>
            </w:pPr>
            <w:r>
              <w:t>≥95%</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补贴按时发放率</w:t>
            </w:r>
          </w:p>
        </w:tc>
        <w:tc>
          <w:tcPr>
            <w:tcW w:w="2891" w:type="dxa"/>
            <w:vAlign w:val="center"/>
          </w:tcPr>
          <w:p>
            <w:pPr>
              <w:pStyle w:val="13"/>
            </w:pPr>
            <w:r>
              <w:t>监督员履职补贴按规定时限发放率</w:t>
            </w:r>
          </w:p>
        </w:tc>
        <w:tc>
          <w:tcPr>
            <w:tcW w:w="1276" w:type="dxa"/>
            <w:vAlign w:val="center"/>
          </w:tcPr>
          <w:p>
            <w:pPr>
              <w:pStyle w:val="13"/>
            </w:pPr>
            <w:r>
              <w:t>100%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单次人民监督员履职补助</w:t>
            </w:r>
          </w:p>
        </w:tc>
        <w:tc>
          <w:tcPr>
            <w:tcW w:w="2891" w:type="dxa"/>
            <w:vAlign w:val="center"/>
          </w:tcPr>
          <w:p>
            <w:pPr>
              <w:pStyle w:val="13"/>
            </w:pPr>
            <w:r>
              <w:t>单次人民监督员履职补助</w:t>
            </w:r>
          </w:p>
        </w:tc>
        <w:tc>
          <w:tcPr>
            <w:tcW w:w="1276" w:type="dxa"/>
            <w:vAlign w:val="center"/>
          </w:tcPr>
          <w:p>
            <w:pPr>
              <w:pStyle w:val="13"/>
            </w:pPr>
            <w:r>
              <w:t>≤300元</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保障工作正常开展率</w:t>
            </w:r>
          </w:p>
        </w:tc>
        <w:tc>
          <w:tcPr>
            <w:tcW w:w="2891" w:type="dxa"/>
            <w:vAlign w:val="center"/>
          </w:tcPr>
          <w:p>
            <w:pPr>
              <w:pStyle w:val="13"/>
            </w:pPr>
            <w:r>
              <w:t>保障工作正常开展率</w:t>
            </w:r>
          </w:p>
        </w:tc>
        <w:tc>
          <w:tcPr>
            <w:tcW w:w="1276" w:type="dxa"/>
            <w:vAlign w:val="center"/>
          </w:tcPr>
          <w:p>
            <w:pPr>
              <w:pStyle w:val="13"/>
            </w:pPr>
            <w:r>
              <w:t>100%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业务科室满意度</w:t>
            </w:r>
          </w:p>
        </w:tc>
        <w:tc>
          <w:tcPr>
            <w:tcW w:w="2891" w:type="dxa"/>
            <w:vAlign w:val="center"/>
          </w:tcPr>
          <w:p>
            <w:pPr>
              <w:pStyle w:val="13"/>
            </w:pPr>
            <w:r>
              <w:t>业务科室满意度</w:t>
            </w:r>
          </w:p>
        </w:tc>
        <w:tc>
          <w:tcPr>
            <w:tcW w:w="1276" w:type="dxa"/>
            <w:vAlign w:val="center"/>
          </w:tcPr>
          <w:p>
            <w:pPr>
              <w:pStyle w:val="13"/>
            </w:pPr>
            <w:r>
              <w:t>≥90%</w:t>
            </w:r>
          </w:p>
        </w:tc>
        <w:tc>
          <w:tcPr>
            <w:tcW w:w="1843" w:type="dxa"/>
            <w:vAlign w:val="center"/>
          </w:tcPr>
          <w:p>
            <w:pPr>
              <w:pStyle w:val="13"/>
            </w:pPr>
            <w:r>
              <w:t>工作计划</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5" w:name="_Toc_4_4_0000000016"/>
      <w:r>
        <w:rPr>
          <w:rFonts w:ascii="方正仿宋_GBK" w:hAnsi="方正仿宋_GBK" w:eastAsia="方正仿宋_GBK" w:cs="方正仿宋_GBK"/>
          <w:color w:val="000000"/>
          <w:sz w:val="28"/>
        </w:rPr>
        <w:t>13.社区矫正业务费绩效目标表</w:t>
      </w:r>
      <w:bookmarkEnd w:id="15"/>
    </w:p>
    <w:tbl>
      <w:tblPr>
        <w:tblStyle w:val="5"/>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307001唐山市司法局本级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13020026P00DTH210003L</w:t>
            </w:r>
          </w:p>
        </w:tc>
        <w:tc>
          <w:tcPr>
            <w:tcW w:w="1587" w:type="dxa"/>
            <w:vAlign w:val="center"/>
          </w:tcPr>
          <w:p>
            <w:pPr>
              <w:pStyle w:val="14"/>
            </w:pPr>
            <w:r>
              <w:t>项目名称</w:t>
            </w:r>
          </w:p>
        </w:tc>
        <w:tc>
          <w:tcPr>
            <w:tcW w:w="4423" w:type="dxa"/>
            <w:gridSpan w:val="3"/>
            <w:vAlign w:val="center"/>
          </w:tcPr>
          <w:p>
            <w:pPr>
              <w:pStyle w:val="13"/>
            </w:pPr>
            <w:r>
              <w:t>社区矫正业务费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8.50</w:t>
            </w:r>
          </w:p>
        </w:tc>
        <w:tc>
          <w:tcPr>
            <w:tcW w:w="1587" w:type="dxa"/>
            <w:vAlign w:val="center"/>
          </w:tcPr>
          <w:p>
            <w:pPr>
              <w:pStyle w:val="14"/>
            </w:pPr>
            <w:r>
              <w:t>其中：财政    资金</w:t>
            </w:r>
          </w:p>
        </w:tc>
        <w:tc>
          <w:tcPr>
            <w:tcW w:w="1304" w:type="dxa"/>
            <w:vAlign w:val="center"/>
          </w:tcPr>
          <w:p>
            <w:pPr>
              <w:pStyle w:val="13"/>
            </w:pPr>
            <w:r>
              <w:t>8.50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用来保障我单位社区矫正业务的正常开展。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1.保障2026年社区矫正工作依法规范开展。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组织公益活动次数</w:t>
            </w:r>
          </w:p>
        </w:tc>
        <w:tc>
          <w:tcPr>
            <w:tcW w:w="2891" w:type="dxa"/>
            <w:vAlign w:val="center"/>
          </w:tcPr>
          <w:p>
            <w:pPr>
              <w:pStyle w:val="13"/>
            </w:pPr>
            <w:r>
              <w:t>组织公益活动次数</w:t>
            </w:r>
          </w:p>
        </w:tc>
        <w:tc>
          <w:tcPr>
            <w:tcW w:w="1276" w:type="dxa"/>
            <w:vAlign w:val="center"/>
          </w:tcPr>
          <w:p>
            <w:pPr>
              <w:pStyle w:val="13"/>
            </w:pPr>
            <w:r>
              <w:t>≥2次</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档案规范管理率</w:t>
            </w:r>
          </w:p>
        </w:tc>
        <w:tc>
          <w:tcPr>
            <w:tcW w:w="2891" w:type="dxa"/>
            <w:vAlign w:val="center"/>
          </w:tcPr>
          <w:p>
            <w:pPr>
              <w:pStyle w:val="13"/>
            </w:pPr>
            <w:r>
              <w:t>档案规范管理率</w:t>
            </w:r>
          </w:p>
        </w:tc>
        <w:tc>
          <w:tcPr>
            <w:tcW w:w="1276" w:type="dxa"/>
            <w:vAlign w:val="center"/>
          </w:tcPr>
          <w:p>
            <w:pPr>
              <w:pStyle w:val="13"/>
            </w:pPr>
            <w:r>
              <w:t>≥98%</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调查评估按时完成率</w:t>
            </w:r>
          </w:p>
        </w:tc>
        <w:tc>
          <w:tcPr>
            <w:tcW w:w="2891" w:type="dxa"/>
            <w:vAlign w:val="center"/>
          </w:tcPr>
          <w:p>
            <w:pPr>
              <w:pStyle w:val="13"/>
            </w:pPr>
            <w:r>
              <w:t>调查评估按时完成率</w:t>
            </w:r>
          </w:p>
        </w:tc>
        <w:tc>
          <w:tcPr>
            <w:tcW w:w="1276" w:type="dxa"/>
            <w:vAlign w:val="center"/>
          </w:tcPr>
          <w:p>
            <w:pPr>
              <w:pStyle w:val="13"/>
            </w:pPr>
            <w:r>
              <w:t>≥95%</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成本控制总额</w:t>
            </w:r>
          </w:p>
        </w:tc>
        <w:tc>
          <w:tcPr>
            <w:tcW w:w="2891" w:type="dxa"/>
            <w:vAlign w:val="center"/>
          </w:tcPr>
          <w:p>
            <w:pPr>
              <w:pStyle w:val="13"/>
            </w:pPr>
            <w:r>
              <w:t>成本控制总额</w:t>
            </w:r>
          </w:p>
        </w:tc>
        <w:tc>
          <w:tcPr>
            <w:tcW w:w="1276" w:type="dxa"/>
            <w:vAlign w:val="center"/>
          </w:tcPr>
          <w:p>
            <w:pPr>
              <w:pStyle w:val="13"/>
            </w:pPr>
            <w:r>
              <w:t>&lt;8.5万元</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重新犯罪率</w:t>
            </w:r>
          </w:p>
        </w:tc>
        <w:tc>
          <w:tcPr>
            <w:tcW w:w="2891" w:type="dxa"/>
            <w:vAlign w:val="center"/>
          </w:tcPr>
          <w:p>
            <w:pPr>
              <w:pStyle w:val="13"/>
            </w:pPr>
            <w:r>
              <w:t>重新犯罪率</w:t>
            </w:r>
          </w:p>
        </w:tc>
        <w:tc>
          <w:tcPr>
            <w:tcW w:w="1276" w:type="dxa"/>
            <w:vAlign w:val="center"/>
          </w:tcPr>
          <w:p>
            <w:pPr>
              <w:pStyle w:val="13"/>
            </w:pPr>
            <w:r>
              <w:t>&lt;2%</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帮扶对象满意度</w:t>
            </w:r>
          </w:p>
        </w:tc>
        <w:tc>
          <w:tcPr>
            <w:tcW w:w="2891" w:type="dxa"/>
            <w:vAlign w:val="center"/>
          </w:tcPr>
          <w:p>
            <w:pPr>
              <w:pStyle w:val="13"/>
            </w:pPr>
            <w:r>
              <w:t>帮扶对象满意度</w:t>
            </w:r>
          </w:p>
        </w:tc>
        <w:tc>
          <w:tcPr>
            <w:tcW w:w="1276" w:type="dxa"/>
            <w:vAlign w:val="center"/>
          </w:tcPr>
          <w:p>
            <w:pPr>
              <w:pStyle w:val="13"/>
            </w:pPr>
            <w:r>
              <w:t>≥90%</w:t>
            </w:r>
          </w:p>
        </w:tc>
        <w:tc>
          <w:tcPr>
            <w:tcW w:w="1843" w:type="dxa"/>
            <w:vAlign w:val="center"/>
          </w:tcPr>
          <w:p>
            <w:pPr>
              <w:pStyle w:val="13"/>
            </w:pPr>
            <w:r>
              <w:t>工作计划</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6" w:name="_Toc_4_4_0000000017"/>
      <w:r>
        <w:rPr>
          <w:rFonts w:ascii="方正仿宋_GBK" w:hAnsi="方正仿宋_GBK" w:eastAsia="方正仿宋_GBK" w:cs="方正仿宋_GBK"/>
          <w:color w:val="000000"/>
          <w:sz w:val="28"/>
        </w:rPr>
        <w:t>14.市委市政府法律顾问费绩效目标表</w:t>
      </w:r>
      <w:bookmarkEnd w:id="16"/>
    </w:p>
    <w:tbl>
      <w:tblPr>
        <w:tblStyle w:val="5"/>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307001唐山市司法局本级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13020026P00FP2J100031</w:t>
            </w:r>
          </w:p>
        </w:tc>
        <w:tc>
          <w:tcPr>
            <w:tcW w:w="1587" w:type="dxa"/>
            <w:vAlign w:val="center"/>
          </w:tcPr>
          <w:p>
            <w:pPr>
              <w:pStyle w:val="14"/>
            </w:pPr>
            <w:r>
              <w:t>项目名称</w:t>
            </w:r>
          </w:p>
        </w:tc>
        <w:tc>
          <w:tcPr>
            <w:tcW w:w="4423" w:type="dxa"/>
            <w:gridSpan w:val="3"/>
            <w:vAlign w:val="center"/>
          </w:tcPr>
          <w:p>
            <w:pPr>
              <w:pStyle w:val="13"/>
            </w:pPr>
            <w:r>
              <w:t>市委市政府法律顾问费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66.75</w:t>
            </w:r>
          </w:p>
        </w:tc>
        <w:tc>
          <w:tcPr>
            <w:tcW w:w="1587" w:type="dxa"/>
            <w:vAlign w:val="center"/>
          </w:tcPr>
          <w:p>
            <w:pPr>
              <w:pStyle w:val="14"/>
            </w:pPr>
            <w:r>
              <w:t>其中：财政    资金</w:t>
            </w:r>
          </w:p>
        </w:tc>
        <w:tc>
          <w:tcPr>
            <w:tcW w:w="1304" w:type="dxa"/>
            <w:vAlign w:val="center"/>
          </w:tcPr>
          <w:p>
            <w:pPr>
              <w:pStyle w:val="13"/>
            </w:pPr>
            <w:r>
              <w:t>66.75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该项目用来支付市委市政府法律顾问费。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1.为了保障市委、市政府法律顾问制度有效运行，切实防范法律风险，推进法治政府建设。</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提供重大决策、规范性文件次数</w:t>
            </w:r>
          </w:p>
        </w:tc>
        <w:tc>
          <w:tcPr>
            <w:tcW w:w="2891" w:type="dxa"/>
            <w:vAlign w:val="center"/>
          </w:tcPr>
          <w:p>
            <w:pPr>
              <w:pStyle w:val="13"/>
            </w:pPr>
            <w:r>
              <w:t>提供重大决策、规范性文件次数</w:t>
            </w:r>
          </w:p>
        </w:tc>
        <w:tc>
          <w:tcPr>
            <w:tcW w:w="1276" w:type="dxa"/>
            <w:vAlign w:val="center"/>
          </w:tcPr>
          <w:p>
            <w:pPr>
              <w:pStyle w:val="13"/>
            </w:pPr>
            <w:r>
              <w:t>≥50次</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法律意见被采纳率</w:t>
            </w:r>
          </w:p>
        </w:tc>
        <w:tc>
          <w:tcPr>
            <w:tcW w:w="2891" w:type="dxa"/>
            <w:vAlign w:val="center"/>
          </w:tcPr>
          <w:p>
            <w:pPr>
              <w:pStyle w:val="13"/>
            </w:pPr>
            <w:r>
              <w:t>法律意见被采纳率</w:t>
            </w:r>
          </w:p>
        </w:tc>
        <w:tc>
          <w:tcPr>
            <w:tcW w:w="1276" w:type="dxa"/>
            <w:vAlign w:val="center"/>
          </w:tcPr>
          <w:p>
            <w:pPr>
              <w:pStyle w:val="13"/>
            </w:pPr>
            <w:r>
              <w:t>≥90%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法律顾问按时提交法律意见及时率</w:t>
            </w:r>
          </w:p>
        </w:tc>
        <w:tc>
          <w:tcPr>
            <w:tcW w:w="2891" w:type="dxa"/>
            <w:vAlign w:val="center"/>
          </w:tcPr>
          <w:p>
            <w:pPr>
              <w:pStyle w:val="13"/>
            </w:pPr>
            <w:r>
              <w:t>法律顾问按时提交法律意见及时率</w:t>
            </w:r>
          </w:p>
        </w:tc>
        <w:tc>
          <w:tcPr>
            <w:tcW w:w="1276" w:type="dxa"/>
            <w:vAlign w:val="center"/>
          </w:tcPr>
          <w:p>
            <w:pPr>
              <w:pStyle w:val="13"/>
            </w:pPr>
            <w:r>
              <w:t>≥95%</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项目总支出控制</w:t>
            </w:r>
          </w:p>
        </w:tc>
        <w:tc>
          <w:tcPr>
            <w:tcW w:w="2891" w:type="dxa"/>
            <w:vAlign w:val="center"/>
          </w:tcPr>
          <w:p>
            <w:pPr>
              <w:pStyle w:val="13"/>
            </w:pPr>
            <w:r>
              <w:t>项目总支出控制</w:t>
            </w:r>
          </w:p>
        </w:tc>
        <w:tc>
          <w:tcPr>
            <w:tcW w:w="1276" w:type="dxa"/>
            <w:vAlign w:val="center"/>
          </w:tcPr>
          <w:p>
            <w:pPr>
              <w:pStyle w:val="13"/>
            </w:pPr>
            <w:r>
              <w:t>&lt;66.75万元</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保障工作正常开展率</w:t>
            </w:r>
          </w:p>
        </w:tc>
        <w:tc>
          <w:tcPr>
            <w:tcW w:w="2891" w:type="dxa"/>
            <w:vAlign w:val="center"/>
          </w:tcPr>
          <w:p>
            <w:pPr>
              <w:pStyle w:val="13"/>
            </w:pPr>
            <w:r>
              <w:t>保障工作正常开展率</w:t>
            </w:r>
          </w:p>
        </w:tc>
        <w:tc>
          <w:tcPr>
            <w:tcW w:w="1276" w:type="dxa"/>
            <w:vAlign w:val="center"/>
          </w:tcPr>
          <w:p>
            <w:pPr>
              <w:pStyle w:val="13"/>
            </w:pPr>
            <w:r>
              <w:t>100%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业务科室满意度</w:t>
            </w:r>
          </w:p>
        </w:tc>
        <w:tc>
          <w:tcPr>
            <w:tcW w:w="2891" w:type="dxa"/>
            <w:vAlign w:val="center"/>
          </w:tcPr>
          <w:p>
            <w:pPr>
              <w:pStyle w:val="13"/>
            </w:pPr>
            <w:r>
              <w:t>业务科室满意度</w:t>
            </w:r>
          </w:p>
        </w:tc>
        <w:tc>
          <w:tcPr>
            <w:tcW w:w="1276" w:type="dxa"/>
            <w:vAlign w:val="center"/>
          </w:tcPr>
          <w:p>
            <w:pPr>
              <w:pStyle w:val="13"/>
            </w:pPr>
            <w:r>
              <w:t>≥90%</w:t>
            </w:r>
          </w:p>
        </w:tc>
        <w:tc>
          <w:tcPr>
            <w:tcW w:w="1843" w:type="dxa"/>
            <w:vAlign w:val="center"/>
          </w:tcPr>
          <w:p>
            <w:pPr>
              <w:pStyle w:val="13"/>
            </w:pPr>
            <w:r>
              <w:t>工作计划</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7" w:name="_Toc_4_4_0000000018"/>
      <w:r>
        <w:rPr>
          <w:rFonts w:ascii="方正仿宋_GBK" w:hAnsi="方正仿宋_GBK" w:eastAsia="方正仿宋_GBK" w:cs="方正仿宋_GBK"/>
          <w:color w:val="000000"/>
          <w:sz w:val="28"/>
        </w:rPr>
        <w:t>15.司法建设行政业务费绩效目标表</w:t>
      </w:r>
      <w:bookmarkEnd w:id="17"/>
    </w:p>
    <w:tbl>
      <w:tblPr>
        <w:tblStyle w:val="5"/>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307001唐山市司法局本级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13020026P00ERCF100035</w:t>
            </w:r>
          </w:p>
        </w:tc>
        <w:tc>
          <w:tcPr>
            <w:tcW w:w="1587" w:type="dxa"/>
            <w:vAlign w:val="center"/>
          </w:tcPr>
          <w:p>
            <w:pPr>
              <w:pStyle w:val="14"/>
            </w:pPr>
            <w:r>
              <w:t>项目名称</w:t>
            </w:r>
          </w:p>
        </w:tc>
        <w:tc>
          <w:tcPr>
            <w:tcW w:w="4423" w:type="dxa"/>
            <w:gridSpan w:val="3"/>
            <w:vAlign w:val="center"/>
          </w:tcPr>
          <w:p>
            <w:pPr>
              <w:pStyle w:val="13"/>
            </w:pPr>
            <w:r>
              <w:t>司法建设行政业务费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1.40</w:t>
            </w:r>
          </w:p>
        </w:tc>
        <w:tc>
          <w:tcPr>
            <w:tcW w:w="1587" w:type="dxa"/>
            <w:vAlign w:val="center"/>
          </w:tcPr>
          <w:p>
            <w:pPr>
              <w:pStyle w:val="14"/>
            </w:pPr>
            <w:r>
              <w:t>其中：财政    资金</w:t>
            </w:r>
          </w:p>
        </w:tc>
        <w:tc>
          <w:tcPr>
            <w:tcW w:w="1304" w:type="dxa"/>
            <w:vAlign w:val="center"/>
          </w:tcPr>
          <w:p>
            <w:pPr>
              <w:pStyle w:val="13"/>
            </w:pPr>
            <w:r>
              <w:t>1.40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该项目资金用来支付司法局会议费相关支出。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20%</w:t>
            </w:r>
          </w:p>
        </w:tc>
        <w:tc>
          <w:tcPr>
            <w:tcW w:w="1587" w:type="dxa"/>
            <w:vAlign w:val="center"/>
          </w:tcPr>
          <w:p>
            <w:pPr>
              <w:pStyle w:val="15"/>
            </w:pPr>
            <w:r>
              <w:t>50%</w:t>
            </w:r>
          </w:p>
        </w:tc>
        <w:tc>
          <w:tcPr>
            <w:tcW w:w="1304" w:type="dxa"/>
            <w:vAlign w:val="center"/>
          </w:tcPr>
          <w:p>
            <w:pPr>
              <w:pStyle w:val="15"/>
            </w:pPr>
            <w:r>
              <w:t>70%</w:t>
            </w:r>
          </w:p>
        </w:tc>
        <w:tc>
          <w:tcPr>
            <w:tcW w:w="3119"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1.保障2026年度司法建设相关行政会议费用支出。</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召开行政会议次数</w:t>
            </w:r>
          </w:p>
        </w:tc>
        <w:tc>
          <w:tcPr>
            <w:tcW w:w="2891" w:type="dxa"/>
            <w:vAlign w:val="center"/>
          </w:tcPr>
          <w:p>
            <w:pPr>
              <w:pStyle w:val="13"/>
            </w:pPr>
            <w:r>
              <w:t>召开行政会议次数</w:t>
            </w:r>
          </w:p>
        </w:tc>
        <w:tc>
          <w:tcPr>
            <w:tcW w:w="1276" w:type="dxa"/>
            <w:vAlign w:val="center"/>
          </w:tcPr>
          <w:p>
            <w:pPr>
              <w:pStyle w:val="13"/>
            </w:pPr>
            <w:r>
              <w:t>≥5次</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召开会议合规率</w:t>
            </w:r>
          </w:p>
        </w:tc>
        <w:tc>
          <w:tcPr>
            <w:tcW w:w="2891" w:type="dxa"/>
            <w:vAlign w:val="center"/>
          </w:tcPr>
          <w:p>
            <w:pPr>
              <w:pStyle w:val="13"/>
            </w:pPr>
            <w:r>
              <w:t>召开会议合规率</w:t>
            </w:r>
          </w:p>
        </w:tc>
        <w:tc>
          <w:tcPr>
            <w:tcW w:w="1276" w:type="dxa"/>
            <w:vAlign w:val="center"/>
          </w:tcPr>
          <w:p>
            <w:pPr>
              <w:pStyle w:val="13"/>
            </w:pPr>
            <w:r>
              <w:t>100%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按节点召开率</w:t>
            </w:r>
          </w:p>
        </w:tc>
        <w:tc>
          <w:tcPr>
            <w:tcW w:w="2891" w:type="dxa"/>
            <w:vAlign w:val="center"/>
          </w:tcPr>
          <w:p>
            <w:pPr>
              <w:pStyle w:val="13"/>
            </w:pPr>
            <w:r>
              <w:t>按节点召开率</w:t>
            </w:r>
          </w:p>
        </w:tc>
        <w:tc>
          <w:tcPr>
            <w:tcW w:w="1276" w:type="dxa"/>
            <w:vAlign w:val="center"/>
          </w:tcPr>
          <w:p>
            <w:pPr>
              <w:pStyle w:val="13"/>
            </w:pPr>
            <w:r>
              <w:t>100%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单次召开会议费用标准</w:t>
            </w:r>
          </w:p>
        </w:tc>
        <w:tc>
          <w:tcPr>
            <w:tcW w:w="2891" w:type="dxa"/>
            <w:vAlign w:val="center"/>
          </w:tcPr>
          <w:p>
            <w:pPr>
              <w:pStyle w:val="13"/>
            </w:pPr>
            <w:r>
              <w:t>单次召开会议费用标准</w:t>
            </w:r>
          </w:p>
        </w:tc>
        <w:tc>
          <w:tcPr>
            <w:tcW w:w="1276" w:type="dxa"/>
            <w:vAlign w:val="center"/>
          </w:tcPr>
          <w:p>
            <w:pPr>
              <w:pStyle w:val="13"/>
            </w:pPr>
            <w:r>
              <w:t>≤3500元</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提升跨部门工作效率</w:t>
            </w:r>
          </w:p>
        </w:tc>
        <w:tc>
          <w:tcPr>
            <w:tcW w:w="2891" w:type="dxa"/>
            <w:vAlign w:val="center"/>
          </w:tcPr>
          <w:p>
            <w:pPr>
              <w:pStyle w:val="13"/>
            </w:pPr>
            <w:r>
              <w:t>提升跨部门工作效率</w:t>
            </w:r>
          </w:p>
        </w:tc>
        <w:tc>
          <w:tcPr>
            <w:tcW w:w="1276" w:type="dxa"/>
            <w:vAlign w:val="center"/>
          </w:tcPr>
          <w:p>
            <w:pPr>
              <w:pStyle w:val="13"/>
            </w:pPr>
            <w:r>
              <w:t>≥20%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参会人员满意度</w:t>
            </w:r>
          </w:p>
        </w:tc>
        <w:tc>
          <w:tcPr>
            <w:tcW w:w="2891" w:type="dxa"/>
            <w:vAlign w:val="center"/>
          </w:tcPr>
          <w:p>
            <w:pPr>
              <w:pStyle w:val="13"/>
            </w:pPr>
            <w:r>
              <w:t>参会人员满意度</w:t>
            </w:r>
          </w:p>
        </w:tc>
        <w:tc>
          <w:tcPr>
            <w:tcW w:w="1276" w:type="dxa"/>
            <w:vAlign w:val="center"/>
          </w:tcPr>
          <w:p>
            <w:pPr>
              <w:pStyle w:val="13"/>
            </w:pPr>
            <w:r>
              <w:t>≥90%</w:t>
            </w:r>
          </w:p>
        </w:tc>
        <w:tc>
          <w:tcPr>
            <w:tcW w:w="1843" w:type="dxa"/>
            <w:vAlign w:val="center"/>
          </w:tcPr>
          <w:p>
            <w:pPr>
              <w:pStyle w:val="13"/>
            </w:pPr>
            <w:r>
              <w:t>工作计划</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8" w:name="_Toc_4_4_0000000019"/>
      <w:r>
        <w:rPr>
          <w:rFonts w:ascii="方正仿宋_GBK" w:hAnsi="方正仿宋_GBK" w:eastAsia="方正仿宋_GBK" w:cs="方正仿宋_GBK"/>
          <w:color w:val="000000"/>
          <w:sz w:val="28"/>
        </w:rPr>
        <w:t>16.司法考试支出绩效目标表</w:t>
      </w:r>
      <w:bookmarkEnd w:id="18"/>
    </w:p>
    <w:tbl>
      <w:tblPr>
        <w:tblStyle w:val="5"/>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307001唐山市司法局本级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13020026P006N80100037</w:t>
            </w:r>
          </w:p>
        </w:tc>
        <w:tc>
          <w:tcPr>
            <w:tcW w:w="1587" w:type="dxa"/>
            <w:vAlign w:val="center"/>
          </w:tcPr>
          <w:p>
            <w:pPr>
              <w:pStyle w:val="14"/>
            </w:pPr>
            <w:r>
              <w:t>项目名称</w:t>
            </w:r>
          </w:p>
        </w:tc>
        <w:tc>
          <w:tcPr>
            <w:tcW w:w="4423" w:type="dxa"/>
            <w:gridSpan w:val="3"/>
            <w:vAlign w:val="center"/>
          </w:tcPr>
          <w:p>
            <w:pPr>
              <w:pStyle w:val="13"/>
            </w:pPr>
            <w:r>
              <w:t>司法考试支出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46.18</w:t>
            </w:r>
          </w:p>
        </w:tc>
        <w:tc>
          <w:tcPr>
            <w:tcW w:w="1587" w:type="dxa"/>
            <w:vAlign w:val="center"/>
          </w:tcPr>
          <w:p>
            <w:pPr>
              <w:pStyle w:val="14"/>
            </w:pPr>
            <w:r>
              <w:t>其中：财政    资金</w:t>
            </w:r>
          </w:p>
        </w:tc>
        <w:tc>
          <w:tcPr>
            <w:tcW w:w="1304" w:type="dxa"/>
            <w:vAlign w:val="center"/>
          </w:tcPr>
          <w:p>
            <w:pPr>
              <w:pStyle w:val="13"/>
            </w:pPr>
            <w:r>
              <w:t>46.18</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该项目用来支出司法考试费用。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100%</w:t>
            </w:r>
          </w:p>
        </w:tc>
        <w:tc>
          <w:tcPr>
            <w:tcW w:w="3119" w:type="dxa"/>
            <w:gridSpan w:val="2"/>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1.为顺利实施2026年国家统一法律职业资格考试，为考生提供规范有序的考试服务。</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服务保障考生人次</w:t>
            </w:r>
          </w:p>
        </w:tc>
        <w:tc>
          <w:tcPr>
            <w:tcW w:w="2891" w:type="dxa"/>
            <w:vAlign w:val="center"/>
          </w:tcPr>
          <w:p>
            <w:pPr>
              <w:pStyle w:val="13"/>
            </w:pPr>
            <w:r>
              <w:t>司法考试服务保障人次</w:t>
            </w:r>
          </w:p>
        </w:tc>
        <w:tc>
          <w:tcPr>
            <w:tcW w:w="1276" w:type="dxa"/>
            <w:vAlign w:val="center"/>
          </w:tcPr>
          <w:p>
            <w:pPr>
              <w:pStyle w:val="13"/>
            </w:pPr>
            <w:r>
              <w:t>≥2800人次</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考务工作重大差错率</w:t>
            </w:r>
          </w:p>
        </w:tc>
        <w:tc>
          <w:tcPr>
            <w:tcW w:w="2891" w:type="dxa"/>
            <w:vAlign w:val="center"/>
          </w:tcPr>
          <w:p>
            <w:pPr>
              <w:pStyle w:val="13"/>
            </w:pPr>
            <w:r>
              <w:t>司法考试考务重大差错率</w:t>
            </w:r>
          </w:p>
        </w:tc>
        <w:tc>
          <w:tcPr>
            <w:tcW w:w="1276" w:type="dxa"/>
            <w:vAlign w:val="center"/>
          </w:tcPr>
          <w:p>
            <w:pPr>
              <w:pStyle w:val="13"/>
            </w:pPr>
            <w:r>
              <w:t>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考试组织工作按上级统一时间节点</w:t>
            </w:r>
          </w:p>
        </w:tc>
        <w:tc>
          <w:tcPr>
            <w:tcW w:w="2891" w:type="dxa"/>
            <w:vAlign w:val="center"/>
          </w:tcPr>
          <w:p>
            <w:pPr>
              <w:pStyle w:val="13"/>
            </w:pPr>
            <w:r>
              <w:t>考试组织工作按上级统一时间节点</w:t>
            </w:r>
          </w:p>
        </w:tc>
        <w:tc>
          <w:tcPr>
            <w:tcW w:w="1276" w:type="dxa"/>
            <w:vAlign w:val="center"/>
          </w:tcPr>
          <w:p>
            <w:pPr>
              <w:pStyle w:val="13"/>
            </w:pPr>
            <w:r>
              <w:t>严格按照上级安排时间节点</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司法考试考务费支出总成本</w:t>
            </w:r>
          </w:p>
        </w:tc>
        <w:tc>
          <w:tcPr>
            <w:tcW w:w="2891" w:type="dxa"/>
            <w:vAlign w:val="center"/>
          </w:tcPr>
          <w:p>
            <w:pPr>
              <w:pStyle w:val="13"/>
            </w:pPr>
            <w:r>
              <w:t>司法考试考务费支出总成本</w:t>
            </w:r>
          </w:p>
        </w:tc>
        <w:tc>
          <w:tcPr>
            <w:tcW w:w="1276" w:type="dxa"/>
            <w:vAlign w:val="center"/>
          </w:tcPr>
          <w:p>
            <w:pPr>
              <w:pStyle w:val="13"/>
            </w:pPr>
            <w:r>
              <w:t>&lt;46.18万元</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考试公平公正率</w:t>
            </w:r>
          </w:p>
        </w:tc>
        <w:tc>
          <w:tcPr>
            <w:tcW w:w="2891" w:type="dxa"/>
            <w:vAlign w:val="center"/>
          </w:tcPr>
          <w:p>
            <w:pPr>
              <w:pStyle w:val="13"/>
            </w:pPr>
            <w:r>
              <w:t>司法考试公平公正率</w:t>
            </w:r>
          </w:p>
        </w:tc>
        <w:tc>
          <w:tcPr>
            <w:tcW w:w="1276" w:type="dxa"/>
            <w:vAlign w:val="center"/>
          </w:tcPr>
          <w:p>
            <w:pPr>
              <w:pStyle w:val="13"/>
            </w:pPr>
            <w:r>
              <w:t>100%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考生满意度</w:t>
            </w:r>
          </w:p>
        </w:tc>
        <w:tc>
          <w:tcPr>
            <w:tcW w:w="2891" w:type="dxa"/>
            <w:vAlign w:val="center"/>
          </w:tcPr>
          <w:p>
            <w:pPr>
              <w:pStyle w:val="13"/>
            </w:pPr>
            <w:r>
              <w:t>服务考生满意度</w:t>
            </w:r>
          </w:p>
        </w:tc>
        <w:tc>
          <w:tcPr>
            <w:tcW w:w="1276" w:type="dxa"/>
            <w:vAlign w:val="center"/>
          </w:tcPr>
          <w:p>
            <w:pPr>
              <w:pStyle w:val="13"/>
            </w:pPr>
            <w:r>
              <w:t>≥95%</w:t>
            </w:r>
          </w:p>
        </w:tc>
        <w:tc>
          <w:tcPr>
            <w:tcW w:w="1843" w:type="dxa"/>
            <w:vAlign w:val="center"/>
          </w:tcPr>
          <w:p>
            <w:pPr>
              <w:pStyle w:val="13"/>
            </w:pPr>
            <w:r>
              <w:t>工作计划</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9" w:name="_Toc_4_4_0000000020"/>
      <w:r>
        <w:rPr>
          <w:rFonts w:ascii="方正仿宋_GBK" w:hAnsi="方正仿宋_GBK" w:eastAsia="方正仿宋_GBK" w:cs="方正仿宋_GBK"/>
          <w:color w:val="000000"/>
          <w:sz w:val="28"/>
        </w:rPr>
        <w:t>17.网络维护费绩效目标表</w:t>
      </w:r>
      <w:bookmarkEnd w:id="19"/>
    </w:p>
    <w:tbl>
      <w:tblPr>
        <w:tblStyle w:val="5"/>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307001唐山市司法局本级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13020026P006J8C10003C</w:t>
            </w:r>
          </w:p>
        </w:tc>
        <w:tc>
          <w:tcPr>
            <w:tcW w:w="1587" w:type="dxa"/>
            <w:vAlign w:val="center"/>
          </w:tcPr>
          <w:p>
            <w:pPr>
              <w:pStyle w:val="14"/>
            </w:pPr>
            <w:r>
              <w:t>项目名称</w:t>
            </w:r>
          </w:p>
        </w:tc>
        <w:tc>
          <w:tcPr>
            <w:tcW w:w="4423" w:type="dxa"/>
            <w:gridSpan w:val="3"/>
            <w:vAlign w:val="center"/>
          </w:tcPr>
          <w:p>
            <w:pPr>
              <w:pStyle w:val="13"/>
            </w:pPr>
            <w:r>
              <w:t>网络维护费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38.50</w:t>
            </w:r>
          </w:p>
        </w:tc>
        <w:tc>
          <w:tcPr>
            <w:tcW w:w="1587" w:type="dxa"/>
            <w:vAlign w:val="center"/>
          </w:tcPr>
          <w:p>
            <w:pPr>
              <w:pStyle w:val="14"/>
            </w:pPr>
            <w:r>
              <w:t>其中：财政    资金</w:t>
            </w:r>
          </w:p>
        </w:tc>
        <w:tc>
          <w:tcPr>
            <w:tcW w:w="1304" w:type="dxa"/>
            <w:vAlign w:val="center"/>
          </w:tcPr>
          <w:p>
            <w:pPr>
              <w:pStyle w:val="13"/>
            </w:pPr>
            <w:r>
              <w:t>38.50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用来支付网络运维费用的支出。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30%</w:t>
            </w:r>
          </w:p>
        </w:tc>
        <w:tc>
          <w:tcPr>
            <w:tcW w:w="1304" w:type="dxa"/>
            <w:vAlign w:val="center"/>
          </w:tcPr>
          <w:p>
            <w:pPr>
              <w:pStyle w:val="15"/>
            </w:pPr>
            <w:r>
              <w:t>60%</w:t>
            </w:r>
          </w:p>
        </w:tc>
        <w:tc>
          <w:tcPr>
            <w:tcW w:w="3119"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1.保障2026年司法局各类网络基础设施、业务信息系统和门户网站的全年安全、高效运行。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驻场服务技术人员数量</w:t>
            </w:r>
          </w:p>
        </w:tc>
        <w:tc>
          <w:tcPr>
            <w:tcW w:w="2891" w:type="dxa"/>
            <w:vAlign w:val="center"/>
          </w:tcPr>
          <w:p>
            <w:pPr>
              <w:pStyle w:val="13"/>
            </w:pPr>
            <w:r>
              <w:t>驻场服务技术人员数量</w:t>
            </w:r>
          </w:p>
        </w:tc>
        <w:tc>
          <w:tcPr>
            <w:tcW w:w="1276" w:type="dxa"/>
            <w:vAlign w:val="center"/>
          </w:tcPr>
          <w:p>
            <w:pPr>
              <w:pStyle w:val="13"/>
            </w:pPr>
            <w:r>
              <w:t>≥5人</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系统可用性</w:t>
            </w:r>
          </w:p>
        </w:tc>
        <w:tc>
          <w:tcPr>
            <w:tcW w:w="2891" w:type="dxa"/>
            <w:vAlign w:val="center"/>
          </w:tcPr>
          <w:p>
            <w:pPr>
              <w:pStyle w:val="13"/>
            </w:pPr>
            <w:r>
              <w:t>系统可用性</w:t>
            </w:r>
          </w:p>
        </w:tc>
        <w:tc>
          <w:tcPr>
            <w:tcW w:w="1276" w:type="dxa"/>
            <w:vAlign w:val="center"/>
          </w:tcPr>
          <w:p>
            <w:pPr>
              <w:pStyle w:val="13"/>
            </w:pPr>
            <w:r>
              <w:t>≥99%</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日常故障响应率</w:t>
            </w:r>
          </w:p>
        </w:tc>
        <w:tc>
          <w:tcPr>
            <w:tcW w:w="2891" w:type="dxa"/>
            <w:vAlign w:val="center"/>
          </w:tcPr>
          <w:p>
            <w:pPr>
              <w:pStyle w:val="13"/>
            </w:pPr>
            <w:r>
              <w:t>日常网络故障响应率</w:t>
            </w:r>
          </w:p>
        </w:tc>
        <w:tc>
          <w:tcPr>
            <w:tcW w:w="1276" w:type="dxa"/>
            <w:vAlign w:val="center"/>
          </w:tcPr>
          <w:p>
            <w:pPr>
              <w:pStyle w:val="13"/>
            </w:pPr>
            <w:r>
              <w:t>≥98%</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每个驻场服务人员费用</w:t>
            </w:r>
          </w:p>
        </w:tc>
        <w:tc>
          <w:tcPr>
            <w:tcW w:w="2891" w:type="dxa"/>
            <w:vAlign w:val="center"/>
          </w:tcPr>
          <w:p>
            <w:pPr>
              <w:pStyle w:val="13"/>
            </w:pPr>
            <w:r>
              <w:t>每个驻场服务人员费用</w:t>
            </w:r>
          </w:p>
        </w:tc>
        <w:tc>
          <w:tcPr>
            <w:tcW w:w="1276" w:type="dxa"/>
            <w:vAlign w:val="center"/>
          </w:tcPr>
          <w:p>
            <w:pPr>
              <w:pStyle w:val="13"/>
            </w:pPr>
            <w:r>
              <w:t>≤5万元</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保障网络系统运转率</w:t>
            </w:r>
          </w:p>
        </w:tc>
        <w:tc>
          <w:tcPr>
            <w:tcW w:w="2891" w:type="dxa"/>
            <w:vAlign w:val="center"/>
          </w:tcPr>
          <w:p>
            <w:pPr>
              <w:pStyle w:val="13"/>
            </w:pPr>
            <w:r>
              <w:t>保障网络系统运转率</w:t>
            </w:r>
          </w:p>
        </w:tc>
        <w:tc>
          <w:tcPr>
            <w:tcW w:w="1276" w:type="dxa"/>
            <w:vAlign w:val="center"/>
          </w:tcPr>
          <w:p>
            <w:pPr>
              <w:pStyle w:val="13"/>
            </w:pPr>
            <w:r>
              <w:t>≥98%</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业务科室对网络系统稳定性满意度</w:t>
            </w:r>
          </w:p>
        </w:tc>
        <w:tc>
          <w:tcPr>
            <w:tcW w:w="2891" w:type="dxa"/>
            <w:vAlign w:val="center"/>
          </w:tcPr>
          <w:p>
            <w:pPr>
              <w:pStyle w:val="13"/>
            </w:pPr>
            <w:r>
              <w:t>业务科室对网络系统稳定性满意度</w:t>
            </w:r>
          </w:p>
        </w:tc>
        <w:tc>
          <w:tcPr>
            <w:tcW w:w="1276" w:type="dxa"/>
            <w:vAlign w:val="center"/>
          </w:tcPr>
          <w:p>
            <w:pPr>
              <w:pStyle w:val="13"/>
            </w:pPr>
            <w:r>
              <w:t>≥95%</w:t>
            </w:r>
          </w:p>
        </w:tc>
        <w:tc>
          <w:tcPr>
            <w:tcW w:w="1843" w:type="dxa"/>
            <w:vAlign w:val="center"/>
          </w:tcPr>
          <w:p>
            <w:pPr>
              <w:pStyle w:val="13"/>
            </w:pPr>
            <w:r>
              <w:t>工作计划</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0" w:name="_Toc_4_4_0000000021"/>
      <w:r>
        <w:rPr>
          <w:rFonts w:ascii="方正仿宋_GBK" w:hAnsi="方正仿宋_GBK" w:eastAsia="方正仿宋_GBK" w:cs="方正仿宋_GBK"/>
          <w:color w:val="000000"/>
          <w:sz w:val="28"/>
        </w:rPr>
        <w:t>18.行政复议修缮费及保安保洁费用绩效目标表</w:t>
      </w:r>
      <w:bookmarkEnd w:id="20"/>
    </w:p>
    <w:tbl>
      <w:tblPr>
        <w:tblStyle w:val="5"/>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307001唐山市司法局本级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13020026P006825106389</w:t>
            </w:r>
          </w:p>
        </w:tc>
        <w:tc>
          <w:tcPr>
            <w:tcW w:w="1587" w:type="dxa"/>
            <w:vAlign w:val="center"/>
          </w:tcPr>
          <w:p>
            <w:pPr>
              <w:pStyle w:val="14"/>
            </w:pPr>
            <w:r>
              <w:t>项目名称</w:t>
            </w:r>
          </w:p>
        </w:tc>
        <w:tc>
          <w:tcPr>
            <w:tcW w:w="4423" w:type="dxa"/>
            <w:gridSpan w:val="3"/>
            <w:vAlign w:val="center"/>
          </w:tcPr>
          <w:p>
            <w:pPr>
              <w:pStyle w:val="13"/>
            </w:pPr>
            <w:r>
              <w:t>行政复议修缮费及保安保洁费用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15.00</w:t>
            </w:r>
          </w:p>
        </w:tc>
        <w:tc>
          <w:tcPr>
            <w:tcW w:w="1587" w:type="dxa"/>
            <w:vAlign w:val="center"/>
          </w:tcPr>
          <w:p>
            <w:pPr>
              <w:pStyle w:val="14"/>
            </w:pPr>
            <w:r>
              <w:t>其中：财政    资金</w:t>
            </w:r>
          </w:p>
        </w:tc>
        <w:tc>
          <w:tcPr>
            <w:tcW w:w="1304" w:type="dxa"/>
            <w:vAlign w:val="center"/>
          </w:tcPr>
          <w:p>
            <w:pPr>
              <w:pStyle w:val="13"/>
            </w:pPr>
            <w:r>
              <w:t>15.00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该专项资金主要用来支付行政复议立案科的日常修缮费和保安保洁费用。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1.为了保障行政复议立案大厅全年安全、有序、整洁的运行，维护正常工作秩序。</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购买保安保洁服务数量</w:t>
            </w:r>
          </w:p>
        </w:tc>
        <w:tc>
          <w:tcPr>
            <w:tcW w:w="2891" w:type="dxa"/>
            <w:vAlign w:val="center"/>
          </w:tcPr>
          <w:p>
            <w:pPr>
              <w:pStyle w:val="13"/>
            </w:pPr>
            <w:r>
              <w:t>购买保安保洁服务数量</w:t>
            </w:r>
          </w:p>
        </w:tc>
        <w:tc>
          <w:tcPr>
            <w:tcW w:w="1276" w:type="dxa"/>
            <w:vAlign w:val="center"/>
          </w:tcPr>
          <w:p>
            <w:pPr>
              <w:pStyle w:val="13"/>
            </w:pPr>
            <w:r>
              <w:t>2个</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保安服务达标率</w:t>
            </w:r>
          </w:p>
        </w:tc>
        <w:tc>
          <w:tcPr>
            <w:tcW w:w="2891" w:type="dxa"/>
            <w:vAlign w:val="center"/>
          </w:tcPr>
          <w:p>
            <w:pPr>
              <w:pStyle w:val="13"/>
            </w:pPr>
            <w:r>
              <w:t>保安服务达标率</w:t>
            </w:r>
          </w:p>
        </w:tc>
        <w:tc>
          <w:tcPr>
            <w:tcW w:w="1276" w:type="dxa"/>
            <w:vAlign w:val="center"/>
          </w:tcPr>
          <w:p>
            <w:pPr>
              <w:pStyle w:val="13"/>
            </w:pPr>
            <w:r>
              <w:t>100%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服务响应及时性</w:t>
            </w:r>
          </w:p>
        </w:tc>
        <w:tc>
          <w:tcPr>
            <w:tcW w:w="2891" w:type="dxa"/>
            <w:vAlign w:val="center"/>
          </w:tcPr>
          <w:p>
            <w:pPr>
              <w:pStyle w:val="13"/>
            </w:pPr>
            <w:r>
              <w:t>保洁服务响应及时性</w:t>
            </w:r>
          </w:p>
        </w:tc>
        <w:tc>
          <w:tcPr>
            <w:tcW w:w="1276" w:type="dxa"/>
            <w:vAlign w:val="center"/>
          </w:tcPr>
          <w:p>
            <w:pPr>
              <w:pStyle w:val="13"/>
            </w:pPr>
            <w:r>
              <w:t>100%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保安服务成本</w:t>
            </w:r>
          </w:p>
        </w:tc>
        <w:tc>
          <w:tcPr>
            <w:tcW w:w="2891" w:type="dxa"/>
            <w:vAlign w:val="center"/>
          </w:tcPr>
          <w:p>
            <w:pPr>
              <w:pStyle w:val="13"/>
            </w:pPr>
            <w:r>
              <w:t>保安服务成本</w:t>
            </w:r>
          </w:p>
        </w:tc>
        <w:tc>
          <w:tcPr>
            <w:tcW w:w="1276" w:type="dxa"/>
            <w:vAlign w:val="center"/>
          </w:tcPr>
          <w:p>
            <w:pPr>
              <w:pStyle w:val="13"/>
            </w:pPr>
            <w:r>
              <w:t>≤7万元</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有效保障行政复议大厅工作秩序与安全</w:t>
            </w:r>
          </w:p>
        </w:tc>
        <w:tc>
          <w:tcPr>
            <w:tcW w:w="2891" w:type="dxa"/>
            <w:vAlign w:val="center"/>
          </w:tcPr>
          <w:p>
            <w:pPr>
              <w:pStyle w:val="13"/>
            </w:pPr>
            <w:r>
              <w:t>有效保障大厅工作秩序与安全</w:t>
            </w:r>
          </w:p>
        </w:tc>
        <w:tc>
          <w:tcPr>
            <w:tcW w:w="1276" w:type="dxa"/>
            <w:vAlign w:val="center"/>
          </w:tcPr>
          <w:p>
            <w:pPr>
              <w:pStyle w:val="13"/>
            </w:pPr>
            <w:r>
              <w:t>100%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办事群众满意度</w:t>
            </w:r>
          </w:p>
        </w:tc>
        <w:tc>
          <w:tcPr>
            <w:tcW w:w="2891" w:type="dxa"/>
            <w:vAlign w:val="center"/>
          </w:tcPr>
          <w:p>
            <w:pPr>
              <w:pStyle w:val="13"/>
            </w:pPr>
            <w:r>
              <w:t>办事群众满意度</w:t>
            </w:r>
          </w:p>
        </w:tc>
        <w:tc>
          <w:tcPr>
            <w:tcW w:w="1276" w:type="dxa"/>
            <w:vAlign w:val="center"/>
          </w:tcPr>
          <w:p>
            <w:pPr>
              <w:pStyle w:val="13"/>
            </w:pPr>
            <w:r>
              <w:t>&gt;90%</w:t>
            </w:r>
          </w:p>
        </w:tc>
        <w:tc>
          <w:tcPr>
            <w:tcW w:w="1843" w:type="dxa"/>
            <w:vAlign w:val="center"/>
          </w:tcPr>
          <w:p>
            <w:pPr>
              <w:pStyle w:val="13"/>
            </w:pPr>
            <w:r>
              <w:t>工作计划</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1" w:name="_Toc_4_4_0000000022"/>
      <w:r>
        <w:rPr>
          <w:rFonts w:ascii="方正仿宋_GBK" w:hAnsi="方正仿宋_GBK" w:eastAsia="方正仿宋_GBK" w:cs="方正仿宋_GBK"/>
          <w:color w:val="000000"/>
          <w:sz w:val="28"/>
        </w:rPr>
        <w:t>19.行政复议业务费绩效目标表</w:t>
      </w:r>
      <w:bookmarkEnd w:id="21"/>
    </w:p>
    <w:tbl>
      <w:tblPr>
        <w:tblStyle w:val="5"/>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307001唐山市司法局本级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13020026P00684115404U</w:t>
            </w:r>
          </w:p>
        </w:tc>
        <w:tc>
          <w:tcPr>
            <w:tcW w:w="1587" w:type="dxa"/>
            <w:vAlign w:val="center"/>
          </w:tcPr>
          <w:p>
            <w:pPr>
              <w:pStyle w:val="14"/>
            </w:pPr>
            <w:r>
              <w:t>项目名称</w:t>
            </w:r>
          </w:p>
        </w:tc>
        <w:tc>
          <w:tcPr>
            <w:tcW w:w="4423" w:type="dxa"/>
            <w:gridSpan w:val="3"/>
            <w:vAlign w:val="center"/>
          </w:tcPr>
          <w:p>
            <w:pPr>
              <w:pStyle w:val="13"/>
            </w:pPr>
            <w:r>
              <w:t>行政复议业务费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17.00</w:t>
            </w:r>
          </w:p>
        </w:tc>
        <w:tc>
          <w:tcPr>
            <w:tcW w:w="1587" w:type="dxa"/>
            <w:vAlign w:val="center"/>
          </w:tcPr>
          <w:p>
            <w:pPr>
              <w:pStyle w:val="14"/>
            </w:pPr>
            <w:r>
              <w:t>其中：财政    资金</w:t>
            </w:r>
          </w:p>
        </w:tc>
        <w:tc>
          <w:tcPr>
            <w:tcW w:w="1304" w:type="dxa"/>
            <w:vAlign w:val="center"/>
          </w:tcPr>
          <w:p>
            <w:pPr>
              <w:pStyle w:val="13"/>
            </w:pPr>
            <w:r>
              <w:t>17.00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支付行政复议业务费支出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1.该项目为了保障本年度行政复议案件依法公正办理，提供资金保障</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审结案件数量</w:t>
            </w:r>
          </w:p>
        </w:tc>
        <w:tc>
          <w:tcPr>
            <w:tcW w:w="2891" w:type="dxa"/>
            <w:vAlign w:val="center"/>
          </w:tcPr>
          <w:p>
            <w:pPr>
              <w:pStyle w:val="13"/>
            </w:pPr>
            <w:r>
              <w:t>行政复议案件办结数量</w:t>
            </w:r>
          </w:p>
        </w:tc>
        <w:tc>
          <w:tcPr>
            <w:tcW w:w="1276" w:type="dxa"/>
            <w:vAlign w:val="center"/>
          </w:tcPr>
          <w:p>
            <w:pPr>
              <w:pStyle w:val="13"/>
            </w:pPr>
            <w:r>
              <w:t>≥700件</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行政复议案件结案率</w:t>
            </w:r>
          </w:p>
        </w:tc>
        <w:tc>
          <w:tcPr>
            <w:tcW w:w="2891" w:type="dxa"/>
            <w:vAlign w:val="center"/>
          </w:tcPr>
          <w:p>
            <w:pPr>
              <w:pStyle w:val="13"/>
            </w:pPr>
            <w:r>
              <w:t>行政复议案件结案率</w:t>
            </w:r>
          </w:p>
        </w:tc>
        <w:tc>
          <w:tcPr>
            <w:tcW w:w="1276" w:type="dxa"/>
            <w:vAlign w:val="center"/>
          </w:tcPr>
          <w:p>
            <w:pPr>
              <w:pStyle w:val="13"/>
            </w:pPr>
            <w:r>
              <w:t>≥90%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各类报表按时报送率</w:t>
            </w:r>
          </w:p>
        </w:tc>
        <w:tc>
          <w:tcPr>
            <w:tcW w:w="2891" w:type="dxa"/>
            <w:vAlign w:val="center"/>
          </w:tcPr>
          <w:p>
            <w:pPr>
              <w:pStyle w:val="13"/>
            </w:pPr>
            <w:r>
              <w:t>各类报表按时报送率</w:t>
            </w:r>
          </w:p>
        </w:tc>
        <w:tc>
          <w:tcPr>
            <w:tcW w:w="1276" w:type="dxa"/>
            <w:vAlign w:val="center"/>
          </w:tcPr>
          <w:p>
            <w:pPr>
              <w:pStyle w:val="13"/>
            </w:pPr>
            <w:r>
              <w:t>≥95%</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人均办理案件承办</w:t>
            </w:r>
          </w:p>
        </w:tc>
        <w:tc>
          <w:tcPr>
            <w:tcW w:w="2891" w:type="dxa"/>
            <w:vAlign w:val="center"/>
          </w:tcPr>
          <w:p>
            <w:pPr>
              <w:pStyle w:val="13"/>
            </w:pPr>
            <w:r>
              <w:t>人均案件办理成本</w:t>
            </w:r>
          </w:p>
        </w:tc>
        <w:tc>
          <w:tcPr>
            <w:tcW w:w="1276" w:type="dxa"/>
            <w:vAlign w:val="center"/>
          </w:tcPr>
          <w:p>
            <w:pPr>
              <w:pStyle w:val="13"/>
            </w:pPr>
            <w:r>
              <w:t>≤500元</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出庭应诉率</w:t>
            </w:r>
          </w:p>
        </w:tc>
        <w:tc>
          <w:tcPr>
            <w:tcW w:w="2891" w:type="dxa"/>
            <w:vAlign w:val="center"/>
          </w:tcPr>
          <w:p>
            <w:pPr>
              <w:pStyle w:val="13"/>
            </w:pPr>
            <w:r>
              <w:t>行政复议案件出庭应诉率</w:t>
            </w:r>
          </w:p>
        </w:tc>
        <w:tc>
          <w:tcPr>
            <w:tcW w:w="1276" w:type="dxa"/>
            <w:vAlign w:val="center"/>
          </w:tcPr>
          <w:p>
            <w:pPr>
              <w:pStyle w:val="13"/>
            </w:pPr>
            <w:r>
              <w:t>≥90%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纠纷对象满意度</w:t>
            </w:r>
          </w:p>
        </w:tc>
        <w:tc>
          <w:tcPr>
            <w:tcW w:w="2891" w:type="dxa"/>
            <w:vAlign w:val="center"/>
          </w:tcPr>
          <w:p>
            <w:pPr>
              <w:pStyle w:val="13"/>
            </w:pPr>
            <w:r>
              <w:t>纠纷对象满意度</w:t>
            </w:r>
          </w:p>
        </w:tc>
        <w:tc>
          <w:tcPr>
            <w:tcW w:w="1276" w:type="dxa"/>
            <w:vAlign w:val="center"/>
          </w:tcPr>
          <w:p>
            <w:pPr>
              <w:pStyle w:val="13"/>
            </w:pPr>
            <w:r>
              <w:t>≥90%</w:t>
            </w:r>
          </w:p>
        </w:tc>
        <w:tc>
          <w:tcPr>
            <w:tcW w:w="1843" w:type="dxa"/>
            <w:vAlign w:val="center"/>
          </w:tcPr>
          <w:p>
            <w:pPr>
              <w:pStyle w:val="13"/>
            </w:pPr>
            <w:r>
              <w:t>工作计划</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2" w:name="_Toc_4_4_0000000023"/>
      <w:r>
        <w:rPr>
          <w:rFonts w:ascii="方正仿宋_GBK" w:hAnsi="方正仿宋_GBK" w:eastAsia="方正仿宋_GBK" w:cs="方正仿宋_GBK"/>
          <w:color w:val="000000"/>
          <w:sz w:val="28"/>
        </w:rPr>
        <w:t>20.行政复议专家咨询委员会经费绩效目标表</w:t>
      </w:r>
      <w:bookmarkEnd w:id="22"/>
    </w:p>
    <w:tbl>
      <w:tblPr>
        <w:tblStyle w:val="5"/>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307001唐山市司法局本级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13020026P00684115405F</w:t>
            </w:r>
          </w:p>
        </w:tc>
        <w:tc>
          <w:tcPr>
            <w:tcW w:w="1587" w:type="dxa"/>
            <w:vAlign w:val="center"/>
          </w:tcPr>
          <w:p>
            <w:pPr>
              <w:pStyle w:val="14"/>
            </w:pPr>
            <w:r>
              <w:t>项目名称</w:t>
            </w:r>
          </w:p>
        </w:tc>
        <w:tc>
          <w:tcPr>
            <w:tcW w:w="4423" w:type="dxa"/>
            <w:gridSpan w:val="3"/>
            <w:vAlign w:val="center"/>
          </w:tcPr>
          <w:p>
            <w:pPr>
              <w:pStyle w:val="13"/>
            </w:pPr>
            <w:r>
              <w:t>行政复议专家咨询委员会经费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5.00</w:t>
            </w:r>
          </w:p>
        </w:tc>
        <w:tc>
          <w:tcPr>
            <w:tcW w:w="1587" w:type="dxa"/>
            <w:vAlign w:val="center"/>
          </w:tcPr>
          <w:p>
            <w:pPr>
              <w:pStyle w:val="14"/>
            </w:pPr>
            <w:r>
              <w:t>其中：财政    资金</w:t>
            </w:r>
          </w:p>
        </w:tc>
        <w:tc>
          <w:tcPr>
            <w:tcW w:w="1304" w:type="dxa"/>
            <w:vAlign w:val="center"/>
          </w:tcPr>
          <w:p>
            <w:pPr>
              <w:pStyle w:val="13"/>
            </w:pPr>
            <w:r>
              <w:t>5.00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用来支付行政复议专家咨询委员会经费支出。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1.该项目支出主要为了提升行政复议案件的处理质量和决策水平。</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论证次数</w:t>
            </w:r>
          </w:p>
        </w:tc>
        <w:tc>
          <w:tcPr>
            <w:tcW w:w="2891" w:type="dxa"/>
            <w:vAlign w:val="center"/>
          </w:tcPr>
          <w:p>
            <w:pPr>
              <w:pStyle w:val="13"/>
            </w:pPr>
            <w:r>
              <w:t>专家参与复杂行政复议案件论证的次数</w:t>
            </w:r>
          </w:p>
        </w:tc>
        <w:tc>
          <w:tcPr>
            <w:tcW w:w="1276" w:type="dxa"/>
            <w:vAlign w:val="center"/>
          </w:tcPr>
          <w:p>
            <w:pPr>
              <w:pStyle w:val="13"/>
            </w:pPr>
            <w:r>
              <w:t>≥50次</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专家出具意见被业务科室采纳的比例</w:t>
            </w:r>
          </w:p>
        </w:tc>
        <w:tc>
          <w:tcPr>
            <w:tcW w:w="2891" w:type="dxa"/>
            <w:vAlign w:val="center"/>
          </w:tcPr>
          <w:p>
            <w:pPr>
              <w:pStyle w:val="13"/>
            </w:pPr>
            <w:r>
              <w:t>专家出具意见被业务科室采纳的比例</w:t>
            </w:r>
          </w:p>
        </w:tc>
        <w:tc>
          <w:tcPr>
            <w:tcW w:w="1276" w:type="dxa"/>
            <w:vAlign w:val="center"/>
          </w:tcPr>
          <w:p>
            <w:pPr>
              <w:pStyle w:val="13"/>
            </w:pPr>
            <w:r>
              <w:t>≥80%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专家咨询意见按时提交率</w:t>
            </w:r>
          </w:p>
        </w:tc>
        <w:tc>
          <w:tcPr>
            <w:tcW w:w="2891" w:type="dxa"/>
            <w:vAlign w:val="center"/>
          </w:tcPr>
          <w:p>
            <w:pPr>
              <w:pStyle w:val="13"/>
            </w:pPr>
            <w:r>
              <w:t>专家咨询意见按时提交率</w:t>
            </w:r>
          </w:p>
        </w:tc>
        <w:tc>
          <w:tcPr>
            <w:tcW w:w="1276" w:type="dxa"/>
            <w:vAlign w:val="center"/>
          </w:tcPr>
          <w:p>
            <w:pPr>
              <w:pStyle w:val="13"/>
            </w:pPr>
            <w:r>
              <w:t>≥90%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专家每次咨询费</w:t>
            </w:r>
          </w:p>
        </w:tc>
        <w:tc>
          <w:tcPr>
            <w:tcW w:w="2891" w:type="dxa"/>
            <w:vAlign w:val="center"/>
          </w:tcPr>
          <w:p>
            <w:pPr>
              <w:pStyle w:val="13"/>
            </w:pPr>
            <w:r>
              <w:t>专家每次咨询费</w:t>
            </w:r>
          </w:p>
        </w:tc>
        <w:tc>
          <w:tcPr>
            <w:tcW w:w="1276" w:type="dxa"/>
            <w:vAlign w:val="center"/>
          </w:tcPr>
          <w:p>
            <w:pPr>
              <w:pStyle w:val="13"/>
            </w:pPr>
            <w:r>
              <w:t>≤500元</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重大案件审理质量提升</w:t>
            </w:r>
          </w:p>
        </w:tc>
        <w:tc>
          <w:tcPr>
            <w:tcW w:w="2891" w:type="dxa"/>
            <w:vAlign w:val="center"/>
          </w:tcPr>
          <w:p>
            <w:pPr>
              <w:pStyle w:val="13"/>
            </w:pPr>
            <w:r>
              <w:t>重大案件审理质量提升</w:t>
            </w:r>
          </w:p>
        </w:tc>
        <w:tc>
          <w:tcPr>
            <w:tcW w:w="1276" w:type="dxa"/>
            <w:vAlign w:val="center"/>
          </w:tcPr>
          <w:p>
            <w:pPr>
              <w:pStyle w:val="13"/>
            </w:pPr>
            <w:r>
              <w:t>≥30%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业务科室对专家咨询的满意度</w:t>
            </w:r>
          </w:p>
        </w:tc>
        <w:tc>
          <w:tcPr>
            <w:tcW w:w="2891" w:type="dxa"/>
            <w:vAlign w:val="center"/>
          </w:tcPr>
          <w:p>
            <w:pPr>
              <w:pStyle w:val="13"/>
            </w:pPr>
            <w:r>
              <w:t>业务科室对专家咨询的满意度</w:t>
            </w:r>
          </w:p>
        </w:tc>
        <w:tc>
          <w:tcPr>
            <w:tcW w:w="1276" w:type="dxa"/>
            <w:vAlign w:val="center"/>
          </w:tcPr>
          <w:p>
            <w:pPr>
              <w:pStyle w:val="13"/>
            </w:pPr>
            <w:r>
              <w:t>≥90%</w:t>
            </w:r>
          </w:p>
        </w:tc>
        <w:tc>
          <w:tcPr>
            <w:tcW w:w="1843" w:type="dxa"/>
            <w:vAlign w:val="center"/>
          </w:tcPr>
          <w:p>
            <w:pPr>
              <w:pStyle w:val="13"/>
            </w:pPr>
            <w:r>
              <w:t>工作计划</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3" w:name="_Toc_4_4_0000000024"/>
      <w:r>
        <w:rPr>
          <w:rFonts w:ascii="方正仿宋_GBK" w:hAnsi="方正仿宋_GBK" w:eastAsia="方正仿宋_GBK" w:cs="方正仿宋_GBK"/>
          <w:color w:val="000000"/>
          <w:sz w:val="28"/>
        </w:rPr>
        <w:t>21.依法治市专项业务经费绩效目标表</w:t>
      </w:r>
      <w:bookmarkEnd w:id="23"/>
    </w:p>
    <w:tbl>
      <w:tblPr>
        <w:tblStyle w:val="5"/>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307001唐山市司法局本级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13020026P004L4010003M</w:t>
            </w:r>
          </w:p>
        </w:tc>
        <w:tc>
          <w:tcPr>
            <w:tcW w:w="1587" w:type="dxa"/>
            <w:vAlign w:val="center"/>
          </w:tcPr>
          <w:p>
            <w:pPr>
              <w:pStyle w:val="14"/>
            </w:pPr>
            <w:r>
              <w:t>项目名称</w:t>
            </w:r>
          </w:p>
        </w:tc>
        <w:tc>
          <w:tcPr>
            <w:tcW w:w="4423" w:type="dxa"/>
            <w:gridSpan w:val="3"/>
            <w:vAlign w:val="center"/>
          </w:tcPr>
          <w:p>
            <w:pPr>
              <w:pStyle w:val="13"/>
            </w:pPr>
            <w:r>
              <w:t>依法治市专项业务经费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10.00</w:t>
            </w:r>
          </w:p>
        </w:tc>
        <w:tc>
          <w:tcPr>
            <w:tcW w:w="1587" w:type="dxa"/>
            <w:vAlign w:val="center"/>
          </w:tcPr>
          <w:p>
            <w:pPr>
              <w:pStyle w:val="14"/>
            </w:pPr>
            <w:r>
              <w:t>其中：财政    资金</w:t>
            </w:r>
          </w:p>
        </w:tc>
        <w:tc>
          <w:tcPr>
            <w:tcW w:w="1304" w:type="dxa"/>
            <w:vAlign w:val="center"/>
          </w:tcPr>
          <w:p>
            <w:pPr>
              <w:pStyle w:val="13"/>
            </w:pPr>
            <w:r>
              <w:t>10.00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该项目用来支付依法治市的印刷费和办公费。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20%</w:t>
            </w:r>
          </w:p>
        </w:tc>
        <w:tc>
          <w:tcPr>
            <w:tcW w:w="1587" w:type="dxa"/>
            <w:vAlign w:val="center"/>
          </w:tcPr>
          <w:p>
            <w:pPr>
              <w:pStyle w:val="15"/>
            </w:pPr>
            <w:r>
              <w:t>60%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1.该资金主要用于依法治市业务经费支出，通过资金保障，系统性的推进全市法治建设。</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印发法制方面文件份数</w:t>
            </w:r>
          </w:p>
        </w:tc>
        <w:tc>
          <w:tcPr>
            <w:tcW w:w="2891" w:type="dxa"/>
            <w:vAlign w:val="center"/>
          </w:tcPr>
          <w:p>
            <w:pPr>
              <w:pStyle w:val="13"/>
            </w:pPr>
            <w:r>
              <w:t>印发全市法制工作要点份数</w:t>
            </w:r>
          </w:p>
        </w:tc>
        <w:tc>
          <w:tcPr>
            <w:tcW w:w="1276" w:type="dxa"/>
            <w:vAlign w:val="center"/>
          </w:tcPr>
          <w:p>
            <w:pPr>
              <w:pStyle w:val="13"/>
            </w:pPr>
            <w:r>
              <w:t>≥200份</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审核通过率</w:t>
            </w:r>
          </w:p>
        </w:tc>
        <w:tc>
          <w:tcPr>
            <w:tcW w:w="2891" w:type="dxa"/>
            <w:vAlign w:val="center"/>
          </w:tcPr>
          <w:p>
            <w:pPr>
              <w:pStyle w:val="13"/>
            </w:pPr>
            <w:r>
              <w:t>起草的规划、文件合法合规审核通过率</w:t>
            </w:r>
          </w:p>
        </w:tc>
        <w:tc>
          <w:tcPr>
            <w:tcW w:w="1276" w:type="dxa"/>
            <w:vAlign w:val="center"/>
          </w:tcPr>
          <w:p>
            <w:pPr>
              <w:pStyle w:val="13"/>
            </w:pPr>
            <w:r>
              <w:t>≥95%</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法治督察报告按时完成率</w:t>
            </w:r>
          </w:p>
        </w:tc>
        <w:tc>
          <w:tcPr>
            <w:tcW w:w="2891" w:type="dxa"/>
            <w:vAlign w:val="center"/>
          </w:tcPr>
          <w:p>
            <w:pPr>
              <w:pStyle w:val="13"/>
            </w:pPr>
            <w:r>
              <w:t>法治督察报告按时完成率</w:t>
            </w:r>
          </w:p>
        </w:tc>
        <w:tc>
          <w:tcPr>
            <w:tcW w:w="1276" w:type="dxa"/>
            <w:vAlign w:val="center"/>
          </w:tcPr>
          <w:p>
            <w:pPr>
              <w:pStyle w:val="13"/>
            </w:pPr>
            <w:r>
              <w:t>100%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单次印刷项目成本</w:t>
            </w:r>
          </w:p>
        </w:tc>
        <w:tc>
          <w:tcPr>
            <w:tcW w:w="2891" w:type="dxa"/>
            <w:vAlign w:val="center"/>
          </w:tcPr>
          <w:p>
            <w:pPr>
              <w:pStyle w:val="13"/>
            </w:pPr>
            <w:r>
              <w:t>单次印刷项目成本</w:t>
            </w:r>
          </w:p>
        </w:tc>
        <w:tc>
          <w:tcPr>
            <w:tcW w:w="1276" w:type="dxa"/>
            <w:vAlign w:val="center"/>
          </w:tcPr>
          <w:p>
            <w:pPr>
              <w:pStyle w:val="13"/>
            </w:pPr>
            <w:r>
              <w:t>≤5000元</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推动法治提升率</w:t>
            </w:r>
          </w:p>
        </w:tc>
        <w:tc>
          <w:tcPr>
            <w:tcW w:w="2891" w:type="dxa"/>
            <w:vAlign w:val="center"/>
          </w:tcPr>
          <w:p>
            <w:pPr>
              <w:pStyle w:val="13"/>
            </w:pPr>
            <w:r>
              <w:t>推动法治提升率</w:t>
            </w:r>
          </w:p>
        </w:tc>
        <w:tc>
          <w:tcPr>
            <w:tcW w:w="1276" w:type="dxa"/>
            <w:vAlign w:val="center"/>
          </w:tcPr>
          <w:p>
            <w:pPr>
              <w:pStyle w:val="13"/>
            </w:pPr>
            <w:r>
              <w:t>≥80%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业务科室满意度</w:t>
            </w:r>
          </w:p>
        </w:tc>
        <w:tc>
          <w:tcPr>
            <w:tcW w:w="2891" w:type="dxa"/>
            <w:vAlign w:val="center"/>
          </w:tcPr>
          <w:p>
            <w:pPr>
              <w:pStyle w:val="13"/>
            </w:pPr>
            <w:r>
              <w:t>业务科室满意度</w:t>
            </w:r>
          </w:p>
        </w:tc>
        <w:tc>
          <w:tcPr>
            <w:tcW w:w="1276" w:type="dxa"/>
            <w:vAlign w:val="center"/>
          </w:tcPr>
          <w:p>
            <w:pPr>
              <w:pStyle w:val="13"/>
            </w:pPr>
            <w:r>
              <w:t>≥90%</w:t>
            </w:r>
          </w:p>
        </w:tc>
        <w:tc>
          <w:tcPr>
            <w:tcW w:w="1843" w:type="dxa"/>
            <w:vAlign w:val="center"/>
          </w:tcPr>
          <w:p>
            <w:pPr>
              <w:pStyle w:val="13"/>
            </w:pPr>
            <w:r>
              <w:t>工作计划</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4" w:name="_Toc_4_4_0000000025"/>
      <w:r>
        <w:rPr>
          <w:rFonts w:ascii="方正仿宋_GBK" w:hAnsi="方正仿宋_GBK" w:eastAsia="方正仿宋_GBK" w:cs="方正仿宋_GBK"/>
          <w:color w:val="000000"/>
          <w:sz w:val="28"/>
        </w:rPr>
        <w:t>22.执法监督业务经费绩效目标表</w:t>
      </w:r>
      <w:bookmarkEnd w:id="24"/>
    </w:p>
    <w:tbl>
      <w:tblPr>
        <w:tblStyle w:val="5"/>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307001唐山市司法局本级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13020026P0044CP100036</w:t>
            </w:r>
          </w:p>
        </w:tc>
        <w:tc>
          <w:tcPr>
            <w:tcW w:w="1587" w:type="dxa"/>
            <w:vAlign w:val="center"/>
          </w:tcPr>
          <w:p>
            <w:pPr>
              <w:pStyle w:val="14"/>
            </w:pPr>
            <w:r>
              <w:t>项目名称</w:t>
            </w:r>
          </w:p>
        </w:tc>
        <w:tc>
          <w:tcPr>
            <w:tcW w:w="4423" w:type="dxa"/>
            <w:gridSpan w:val="3"/>
            <w:vAlign w:val="center"/>
          </w:tcPr>
          <w:p>
            <w:pPr>
              <w:pStyle w:val="13"/>
            </w:pPr>
            <w:r>
              <w:t>执法监督业务经费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15.00</w:t>
            </w:r>
          </w:p>
        </w:tc>
        <w:tc>
          <w:tcPr>
            <w:tcW w:w="1587" w:type="dxa"/>
            <w:vAlign w:val="center"/>
          </w:tcPr>
          <w:p>
            <w:pPr>
              <w:pStyle w:val="14"/>
            </w:pPr>
            <w:r>
              <w:t>其中：财政    资金</w:t>
            </w:r>
          </w:p>
        </w:tc>
        <w:tc>
          <w:tcPr>
            <w:tcW w:w="1304" w:type="dxa"/>
            <w:vAlign w:val="center"/>
          </w:tcPr>
          <w:p>
            <w:pPr>
              <w:pStyle w:val="13"/>
            </w:pPr>
            <w:r>
              <w:t>15.00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该项目资金用来支付执法监督业务经费支出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20%</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1.该项目用来支付执法监督业务经费支出，目的在于规范行政执法行为，推进严格规范公正执法，主要用于保障执法协调、案卷评查等监督活动。</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案卷评查次数</w:t>
            </w:r>
          </w:p>
        </w:tc>
        <w:tc>
          <w:tcPr>
            <w:tcW w:w="2891" w:type="dxa"/>
            <w:vAlign w:val="center"/>
          </w:tcPr>
          <w:p>
            <w:pPr>
              <w:pStyle w:val="13"/>
            </w:pPr>
            <w:r>
              <w:t>组织开展全市行政执法案卷评查</w:t>
            </w:r>
          </w:p>
        </w:tc>
        <w:tc>
          <w:tcPr>
            <w:tcW w:w="1276" w:type="dxa"/>
            <w:vAlign w:val="center"/>
          </w:tcPr>
          <w:p>
            <w:pPr>
              <w:pStyle w:val="13"/>
            </w:pPr>
            <w:r>
              <w:t>1次</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案卷评查发现问题整改率</w:t>
            </w:r>
          </w:p>
        </w:tc>
        <w:tc>
          <w:tcPr>
            <w:tcW w:w="2891" w:type="dxa"/>
            <w:vAlign w:val="center"/>
          </w:tcPr>
          <w:p>
            <w:pPr>
              <w:pStyle w:val="13"/>
            </w:pPr>
            <w:r>
              <w:t>案卷评查发现问题整改落实率</w:t>
            </w:r>
          </w:p>
        </w:tc>
        <w:tc>
          <w:tcPr>
            <w:tcW w:w="1276" w:type="dxa"/>
            <w:vAlign w:val="center"/>
          </w:tcPr>
          <w:p>
            <w:pPr>
              <w:pStyle w:val="13"/>
            </w:pPr>
            <w:r>
              <w:t>≥90%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按时完成率</w:t>
            </w:r>
          </w:p>
        </w:tc>
        <w:tc>
          <w:tcPr>
            <w:tcW w:w="2891" w:type="dxa"/>
            <w:vAlign w:val="center"/>
          </w:tcPr>
          <w:p>
            <w:pPr>
              <w:pStyle w:val="13"/>
            </w:pPr>
            <w:r>
              <w:t>执法监督工作按时完成率</w:t>
            </w:r>
          </w:p>
        </w:tc>
        <w:tc>
          <w:tcPr>
            <w:tcW w:w="1276" w:type="dxa"/>
            <w:vAlign w:val="center"/>
          </w:tcPr>
          <w:p>
            <w:pPr>
              <w:pStyle w:val="13"/>
            </w:pPr>
            <w:r>
              <w:t>≥90%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每次案卷评查成本</w:t>
            </w:r>
          </w:p>
        </w:tc>
        <w:tc>
          <w:tcPr>
            <w:tcW w:w="2891" w:type="dxa"/>
            <w:vAlign w:val="center"/>
          </w:tcPr>
          <w:p>
            <w:pPr>
              <w:pStyle w:val="13"/>
            </w:pPr>
            <w:r>
              <w:t>每次案卷评查成本</w:t>
            </w:r>
          </w:p>
        </w:tc>
        <w:tc>
          <w:tcPr>
            <w:tcW w:w="1276" w:type="dxa"/>
            <w:vAlign w:val="center"/>
          </w:tcPr>
          <w:p>
            <w:pPr>
              <w:pStyle w:val="13"/>
            </w:pPr>
            <w:r>
              <w:t>≤15万元</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保障行政执法规范率</w:t>
            </w:r>
          </w:p>
        </w:tc>
        <w:tc>
          <w:tcPr>
            <w:tcW w:w="2891" w:type="dxa"/>
            <w:vAlign w:val="center"/>
          </w:tcPr>
          <w:p>
            <w:pPr>
              <w:pStyle w:val="13"/>
            </w:pPr>
            <w:r>
              <w:t>保障行政执法规范率</w:t>
            </w:r>
          </w:p>
        </w:tc>
        <w:tc>
          <w:tcPr>
            <w:tcW w:w="1276" w:type="dxa"/>
            <w:vAlign w:val="center"/>
          </w:tcPr>
          <w:p>
            <w:pPr>
              <w:pStyle w:val="13"/>
            </w:pPr>
            <w:r>
              <w:t>≥90%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执法部门满意度</w:t>
            </w:r>
          </w:p>
        </w:tc>
        <w:tc>
          <w:tcPr>
            <w:tcW w:w="2891" w:type="dxa"/>
            <w:vAlign w:val="center"/>
          </w:tcPr>
          <w:p>
            <w:pPr>
              <w:pStyle w:val="13"/>
            </w:pPr>
            <w:r>
              <w:t>执法部门满意度</w:t>
            </w:r>
          </w:p>
        </w:tc>
        <w:tc>
          <w:tcPr>
            <w:tcW w:w="1276" w:type="dxa"/>
            <w:vAlign w:val="center"/>
          </w:tcPr>
          <w:p>
            <w:pPr>
              <w:pStyle w:val="13"/>
            </w:pPr>
            <w:r>
              <w:t>≥90%</w:t>
            </w:r>
          </w:p>
        </w:tc>
        <w:tc>
          <w:tcPr>
            <w:tcW w:w="1843" w:type="dxa"/>
            <w:vAlign w:val="center"/>
          </w:tcPr>
          <w:p>
            <w:pPr>
              <w:pStyle w:val="13"/>
            </w:pPr>
            <w:r>
              <w:t>工作计划</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5" w:name="_Toc_4_4_0000000026"/>
      <w:r>
        <w:rPr>
          <w:rFonts w:ascii="方正仿宋_GBK" w:hAnsi="方正仿宋_GBK" w:eastAsia="方正仿宋_GBK" w:cs="方正仿宋_GBK"/>
          <w:color w:val="000000"/>
          <w:sz w:val="28"/>
        </w:rPr>
        <w:t>23.专家咨询费绩效目标表</w:t>
      </w:r>
      <w:bookmarkEnd w:id="25"/>
    </w:p>
    <w:tbl>
      <w:tblPr>
        <w:tblStyle w:val="5"/>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307001唐山市司法局本级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13020026P0046N010003B</w:t>
            </w:r>
          </w:p>
        </w:tc>
        <w:tc>
          <w:tcPr>
            <w:tcW w:w="1587" w:type="dxa"/>
            <w:vAlign w:val="center"/>
          </w:tcPr>
          <w:p>
            <w:pPr>
              <w:pStyle w:val="14"/>
            </w:pPr>
            <w:r>
              <w:t>项目名称</w:t>
            </w:r>
          </w:p>
        </w:tc>
        <w:tc>
          <w:tcPr>
            <w:tcW w:w="4423" w:type="dxa"/>
            <w:gridSpan w:val="3"/>
            <w:vAlign w:val="center"/>
          </w:tcPr>
          <w:p>
            <w:pPr>
              <w:pStyle w:val="13"/>
            </w:pPr>
            <w:r>
              <w:t>专家咨询费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2.00</w:t>
            </w:r>
          </w:p>
        </w:tc>
        <w:tc>
          <w:tcPr>
            <w:tcW w:w="1587" w:type="dxa"/>
            <w:vAlign w:val="center"/>
          </w:tcPr>
          <w:p>
            <w:pPr>
              <w:pStyle w:val="14"/>
            </w:pPr>
            <w:r>
              <w:t>其中：财政    资金</w:t>
            </w:r>
          </w:p>
        </w:tc>
        <w:tc>
          <w:tcPr>
            <w:tcW w:w="1304" w:type="dxa"/>
            <w:vAlign w:val="center"/>
          </w:tcPr>
          <w:p>
            <w:pPr>
              <w:pStyle w:val="13"/>
            </w:pPr>
            <w:r>
              <w:t>2.00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该项目资金用来支付专家咨询费用。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50%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1.该项目2万元用于支付专家咨询费用，为司法局提供相关专业指导。</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聘请次数</w:t>
            </w:r>
          </w:p>
        </w:tc>
        <w:tc>
          <w:tcPr>
            <w:tcW w:w="2891" w:type="dxa"/>
            <w:vAlign w:val="center"/>
          </w:tcPr>
          <w:p>
            <w:pPr>
              <w:pStyle w:val="13"/>
            </w:pPr>
            <w:r>
              <w:t>工作开展中聘请专家次数</w:t>
            </w:r>
          </w:p>
        </w:tc>
        <w:tc>
          <w:tcPr>
            <w:tcW w:w="1276" w:type="dxa"/>
            <w:vAlign w:val="center"/>
          </w:tcPr>
          <w:p>
            <w:pPr>
              <w:pStyle w:val="13"/>
            </w:pPr>
            <w:r>
              <w:t>≥5次</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出具意见采纳率</w:t>
            </w:r>
          </w:p>
        </w:tc>
        <w:tc>
          <w:tcPr>
            <w:tcW w:w="2891" w:type="dxa"/>
            <w:vAlign w:val="center"/>
          </w:tcPr>
          <w:p>
            <w:pPr>
              <w:pStyle w:val="13"/>
            </w:pPr>
            <w:r>
              <w:t>专家出具的咨询意见</w:t>
            </w:r>
          </w:p>
        </w:tc>
        <w:tc>
          <w:tcPr>
            <w:tcW w:w="1276" w:type="dxa"/>
            <w:vAlign w:val="center"/>
          </w:tcPr>
          <w:p>
            <w:pPr>
              <w:pStyle w:val="13"/>
            </w:pPr>
            <w:r>
              <w:t>≥90%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完成时间</w:t>
            </w:r>
          </w:p>
        </w:tc>
        <w:tc>
          <w:tcPr>
            <w:tcW w:w="2891" w:type="dxa"/>
            <w:vAlign w:val="center"/>
          </w:tcPr>
          <w:p>
            <w:pPr>
              <w:pStyle w:val="13"/>
            </w:pPr>
            <w:r>
              <w:t>完成这项工作的时间</w:t>
            </w:r>
          </w:p>
        </w:tc>
        <w:tc>
          <w:tcPr>
            <w:tcW w:w="1276" w:type="dxa"/>
            <w:vAlign w:val="center"/>
          </w:tcPr>
          <w:p>
            <w:pPr>
              <w:pStyle w:val="13"/>
            </w:pPr>
            <w:r>
              <w:t>2026年12月之前</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受邀专家聘请费用</w:t>
            </w:r>
          </w:p>
        </w:tc>
        <w:tc>
          <w:tcPr>
            <w:tcW w:w="2891" w:type="dxa"/>
            <w:vAlign w:val="center"/>
          </w:tcPr>
          <w:p>
            <w:pPr>
              <w:pStyle w:val="13"/>
            </w:pPr>
            <w:r>
              <w:t>受邀专家聘请费用</w:t>
            </w:r>
          </w:p>
        </w:tc>
        <w:tc>
          <w:tcPr>
            <w:tcW w:w="1276" w:type="dxa"/>
            <w:vAlign w:val="center"/>
          </w:tcPr>
          <w:p>
            <w:pPr>
              <w:pStyle w:val="13"/>
            </w:pPr>
            <w:r>
              <w:t>≤3000元</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行政争议风险率</w:t>
            </w:r>
          </w:p>
        </w:tc>
        <w:tc>
          <w:tcPr>
            <w:tcW w:w="2891" w:type="dxa"/>
            <w:vAlign w:val="center"/>
          </w:tcPr>
          <w:p>
            <w:pPr>
              <w:pStyle w:val="13"/>
            </w:pPr>
            <w:r>
              <w:t>行政争议风险率</w:t>
            </w:r>
          </w:p>
        </w:tc>
        <w:tc>
          <w:tcPr>
            <w:tcW w:w="1276" w:type="dxa"/>
            <w:vAlign w:val="center"/>
          </w:tcPr>
          <w:p>
            <w:pPr>
              <w:pStyle w:val="13"/>
            </w:pPr>
            <w:r>
              <w:t>≤5%</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聘请专家满意度</w:t>
            </w:r>
          </w:p>
        </w:tc>
        <w:tc>
          <w:tcPr>
            <w:tcW w:w="2891" w:type="dxa"/>
            <w:vAlign w:val="center"/>
          </w:tcPr>
          <w:p>
            <w:pPr>
              <w:pStyle w:val="13"/>
            </w:pPr>
            <w:r>
              <w:t>受邀专家对经费保障的满意度</w:t>
            </w:r>
          </w:p>
        </w:tc>
        <w:tc>
          <w:tcPr>
            <w:tcW w:w="1276" w:type="dxa"/>
            <w:vAlign w:val="center"/>
          </w:tcPr>
          <w:p>
            <w:pPr>
              <w:pStyle w:val="13"/>
            </w:pPr>
            <w:r>
              <w:t>≥95%</w:t>
            </w:r>
          </w:p>
        </w:tc>
        <w:tc>
          <w:tcPr>
            <w:tcW w:w="1843" w:type="dxa"/>
            <w:vAlign w:val="center"/>
          </w:tcPr>
          <w:p>
            <w:pPr>
              <w:pStyle w:val="13"/>
            </w:pPr>
            <w:r>
              <w:t>工作计划</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6" w:name="_Toc_4_4_0000000027"/>
      <w:r>
        <w:rPr>
          <w:rFonts w:ascii="方正仿宋_GBK" w:hAnsi="方正仿宋_GBK" w:eastAsia="方正仿宋_GBK" w:cs="方正仿宋_GBK"/>
          <w:color w:val="000000"/>
          <w:sz w:val="28"/>
        </w:rPr>
        <w:t>24.法律援助案件补贴项目绩效目标表</w:t>
      </w:r>
      <w:bookmarkEnd w:id="26"/>
    </w:p>
    <w:tbl>
      <w:tblPr>
        <w:tblStyle w:val="5"/>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307001唐山市司法局本级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13020026P00003110002B</w:t>
            </w:r>
          </w:p>
        </w:tc>
        <w:tc>
          <w:tcPr>
            <w:tcW w:w="1587" w:type="dxa"/>
            <w:vAlign w:val="center"/>
          </w:tcPr>
          <w:p>
            <w:pPr>
              <w:pStyle w:val="14"/>
            </w:pPr>
            <w:r>
              <w:t>项目名称</w:t>
            </w:r>
          </w:p>
        </w:tc>
        <w:tc>
          <w:tcPr>
            <w:tcW w:w="4423" w:type="dxa"/>
            <w:gridSpan w:val="3"/>
            <w:vAlign w:val="center"/>
          </w:tcPr>
          <w:p>
            <w:pPr>
              <w:pStyle w:val="13"/>
            </w:pPr>
            <w:r>
              <w:t>法律援助案件补贴项目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45.00</w:t>
            </w:r>
          </w:p>
        </w:tc>
        <w:tc>
          <w:tcPr>
            <w:tcW w:w="1587" w:type="dxa"/>
            <w:vAlign w:val="center"/>
          </w:tcPr>
          <w:p>
            <w:pPr>
              <w:pStyle w:val="14"/>
            </w:pPr>
            <w:r>
              <w:t>其中：财政    资金</w:t>
            </w:r>
          </w:p>
        </w:tc>
        <w:tc>
          <w:tcPr>
            <w:tcW w:w="1304" w:type="dxa"/>
            <w:vAlign w:val="center"/>
          </w:tcPr>
          <w:p>
            <w:pPr>
              <w:pStyle w:val="13"/>
            </w:pPr>
            <w:r>
              <w:t>45.00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该项目用来支付法律援助案件补贴。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1.通过及时发放法律援助案件补贴，保障本年度法律援助案件依法高效办理，切实维护经济困难公民和符合条件的法定当事人的合法权益，有效化解矛盾，促进司法公正与社会和谐。</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全年办理法律援助案件总数</w:t>
            </w:r>
          </w:p>
        </w:tc>
        <w:tc>
          <w:tcPr>
            <w:tcW w:w="2891" w:type="dxa"/>
            <w:vAlign w:val="center"/>
          </w:tcPr>
          <w:p>
            <w:pPr>
              <w:pStyle w:val="13"/>
            </w:pPr>
            <w:r>
              <w:t>全年办理法律援助案件总数</w:t>
            </w:r>
          </w:p>
        </w:tc>
        <w:tc>
          <w:tcPr>
            <w:tcW w:w="1276" w:type="dxa"/>
            <w:vAlign w:val="center"/>
          </w:tcPr>
          <w:p>
            <w:pPr>
              <w:pStyle w:val="13"/>
            </w:pPr>
            <w:r>
              <w:t>≥590件</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归档卷宗合格率</w:t>
            </w:r>
          </w:p>
        </w:tc>
        <w:tc>
          <w:tcPr>
            <w:tcW w:w="2891" w:type="dxa"/>
            <w:vAlign w:val="center"/>
          </w:tcPr>
          <w:p>
            <w:pPr>
              <w:pStyle w:val="13"/>
            </w:pPr>
            <w:r>
              <w:t>法律援助案卷归档合格率</w:t>
            </w:r>
          </w:p>
        </w:tc>
        <w:tc>
          <w:tcPr>
            <w:tcW w:w="1276" w:type="dxa"/>
            <w:vAlign w:val="center"/>
          </w:tcPr>
          <w:p>
            <w:pPr>
              <w:pStyle w:val="13"/>
            </w:pPr>
            <w:r>
              <w:t>≥95%</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补贴发放及时性</w:t>
            </w:r>
          </w:p>
        </w:tc>
        <w:tc>
          <w:tcPr>
            <w:tcW w:w="2891" w:type="dxa"/>
            <w:vAlign w:val="center"/>
          </w:tcPr>
          <w:p>
            <w:pPr>
              <w:pStyle w:val="13"/>
            </w:pPr>
            <w:r>
              <w:t>案件补贴发放及时性</w:t>
            </w:r>
          </w:p>
        </w:tc>
        <w:tc>
          <w:tcPr>
            <w:tcW w:w="1276" w:type="dxa"/>
            <w:vAlign w:val="center"/>
          </w:tcPr>
          <w:p>
            <w:pPr>
              <w:pStyle w:val="13"/>
            </w:pPr>
            <w:r>
              <w:t>100%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项目总成本控制</w:t>
            </w:r>
          </w:p>
        </w:tc>
        <w:tc>
          <w:tcPr>
            <w:tcW w:w="2891" w:type="dxa"/>
            <w:vAlign w:val="center"/>
          </w:tcPr>
          <w:p>
            <w:pPr>
              <w:pStyle w:val="13"/>
            </w:pPr>
            <w:r>
              <w:t>支付法律援助案件补贴总成本控制</w:t>
            </w:r>
          </w:p>
        </w:tc>
        <w:tc>
          <w:tcPr>
            <w:tcW w:w="1276" w:type="dxa"/>
            <w:vAlign w:val="center"/>
          </w:tcPr>
          <w:p>
            <w:pPr>
              <w:pStyle w:val="13"/>
            </w:pPr>
            <w:r>
              <w:t>≤45万元</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维护受援人合法权益率</w:t>
            </w:r>
          </w:p>
        </w:tc>
        <w:tc>
          <w:tcPr>
            <w:tcW w:w="2891" w:type="dxa"/>
            <w:vAlign w:val="center"/>
          </w:tcPr>
          <w:p>
            <w:pPr>
              <w:pStyle w:val="13"/>
            </w:pPr>
            <w:r>
              <w:t>维护受援人合法权益率</w:t>
            </w:r>
          </w:p>
        </w:tc>
        <w:tc>
          <w:tcPr>
            <w:tcW w:w="1276" w:type="dxa"/>
            <w:vAlign w:val="center"/>
          </w:tcPr>
          <w:p>
            <w:pPr>
              <w:pStyle w:val="13"/>
            </w:pPr>
            <w:r>
              <w:t>≥90%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受援人服务满意度</w:t>
            </w:r>
          </w:p>
        </w:tc>
        <w:tc>
          <w:tcPr>
            <w:tcW w:w="2891" w:type="dxa"/>
            <w:vAlign w:val="center"/>
          </w:tcPr>
          <w:p>
            <w:pPr>
              <w:pStyle w:val="13"/>
            </w:pPr>
            <w:r>
              <w:t>受援人服务满意度</w:t>
            </w:r>
          </w:p>
        </w:tc>
        <w:tc>
          <w:tcPr>
            <w:tcW w:w="1276" w:type="dxa"/>
            <w:vAlign w:val="center"/>
          </w:tcPr>
          <w:p>
            <w:pPr>
              <w:pStyle w:val="13"/>
            </w:pPr>
            <w:r>
              <w:t>≥90%</w:t>
            </w:r>
          </w:p>
        </w:tc>
        <w:tc>
          <w:tcPr>
            <w:tcW w:w="1843" w:type="dxa"/>
            <w:vAlign w:val="center"/>
          </w:tcPr>
          <w:p>
            <w:pPr>
              <w:pStyle w:val="13"/>
            </w:pPr>
            <w:r>
              <w:t>工作计划</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7" w:name="_Toc_4_4_0000000028"/>
      <w:r>
        <w:rPr>
          <w:rFonts w:ascii="方正仿宋_GBK" w:hAnsi="方正仿宋_GBK" w:eastAsia="方正仿宋_GBK" w:cs="方正仿宋_GBK"/>
          <w:color w:val="000000"/>
          <w:sz w:val="28"/>
        </w:rPr>
        <w:t>25.市司法局2025省级基层转移支付资绩效目标表</w:t>
      </w:r>
      <w:bookmarkEnd w:id="27"/>
    </w:p>
    <w:tbl>
      <w:tblPr>
        <w:tblStyle w:val="5"/>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307001唐山市司法局本级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13020025P00004210003D</w:t>
            </w:r>
          </w:p>
        </w:tc>
        <w:tc>
          <w:tcPr>
            <w:tcW w:w="1587" w:type="dxa"/>
            <w:vAlign w:val="center"/>
          </w:tcPr>
          <w:p>
            <w:pPr>
              <w:pStyle w:val="14"/>
            </w:pPr>
            <w:r>
              <w:t>项目名称</w:t>
            </w:r>
          </w:p>
        </w:tc>
        <w:tc>
          <w:tcPr>
            <w:tcW w:w="4423" w:type="dxa"/>
            <w:gridSpan w:val="3"/>
            <w:vAlign w:val="center"/>
          </w:tcPr>
          <w:p>
            <w:pPr>
              <w:pStyle w:val="13"/>
            </w:pPr>
            <w:r>
              <w:t>市司法局2025省级基层转移支付资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19.47</w:t>
            </w:r>
          </w:p>
        </w:tc>
        <w:tc>
          <w:tcPr>
            <w:tcW w:w="1587" w:type="dxa"/>
            <w:vAlign w:val="center"/>
          </w:tcPr>
          <w:p>
            <w:pPr>
              <w:pStyle w:val="14"/>
            </w:pPr>
            <w:r>
              <w:t>其中：财政    资金</w:t>
            </w:r>
          </w:p>
        </w:tc>
        <w:tc>
          <w:tcPr>
            <w:tcW w:w="1304" w:type="dxa"/>
            <w:vAlign w:val="center"/>
          </w:tcPr>
          <w:p>
            <w:pPr>
              <w:pStyle w:val="13"/>
            </w:pPr>
            <w:r>
              <w:t>19.47</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用于支付2025年重点业务办案费、装备费支出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70%</w:t>
            </w:r>
          </w:p>
        </w:tc>
        <w:tc>
          <w:tcPr>
            <w:tcW w:w="3119"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1.做好2025年省级转移支付资金支出,保障单位业务开展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工作完成率(%)</w:t>
            </w:r>
          </w:p>
        </w:tc>
        <w:tc>
          <w:tcPr>
            <w:tcW w:w="2891" w:type="dxa"/>
            <w:vAlign w:val="center"/>
          </w:tcPr>
          <w:p>
            <w:pPr>
              <w:pStyle w:val="13"/>
            </w:pPr>
            <w:r>
              <w:t>工作完成率(%)</w:t>
            </w:r>
          </w:p>
        </w:tc>
        <w:tc>
          <w:tcPr>
            <w:tcW w:w="1276" w:type="dxa"/>
            <w:vAlign w:val="center"/>
          </w:tcPr>
          <w:p>
            <w:pPr>
              <w:pStyle w:val="13"/>
            </w:pPr>
            <w:r>
              <w:t>100%</w:t>
            </w:r>
          </w:p>
        </w:tc>
        <w:tc>
          <w:tcPr>
            <w:tcW w:w="1843"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工作合格率(%)</w:t>
            </w:r>
          </w:p>
        </w:tc>
        <w:tc>
          <w:tcPr>
            <w:tcW w:w="2891" w:type="dxa"/>
            <w:vAlign w:val="center"/>
          </w:tcPr>
          <w:p>
            <w:pPr>
              <w:pStyle w:val="13"/>
            </w:pPr>
            <w:r>
              <w:t>工作合格率(%)</w:t>
            </w:r>
          </w:p>
        </w:tc>
        <w:tc>
          <w:tcPr>
            <w:tcW w:w="1276" w:type="dxa"/>
            <w:vAlign w:val="center"/>
          </w:tcPr>
          <w:p>
            <w:pPr>
              <w:pStyle w:val="13"/>
            </w:pPr>
            <w:r>
              <w:t>100%</w:t>
            </w:r>
          </w:p>
        </w:tc>
        <w:tc>
          <w:tcPr>
            <w:tcW w:w="1843"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预算执行率（%）</w:t>
            </w:r>
          </w:p>
        </w:tc>
        <w:tc>
          <w:tcPr>
            <w:tcW w:w="2891" w:type="dxa"/>
            <w:vAlign w:val="center"/>
          </w:tcPr>
          <w:p>
            <w:pPr>
              <w:pStyle w:val="13"/>
            </w:pPr>
            <w:r>
              <w:t>预算执行率（%）</w:t>
            </w:r>
          </w:p>
        </w:tc>
        <w:tc>
          <w:tcPr>
            <w:tcW w:w="1276" w:type="dxa"/>
            <w:vAlign w:val="center"/>
          </w:tcPr>
          <w:p>
            <w:pPr>
              <w:pStyle w:val="13"/>
            </w:pPr>
            <w:r>
              <w:t>≥100%</w:t>
            </w:r>
          </w:p>
        </w:tc>
        <w:tc>
          <w:tcPr>
            <w:tcW w:w="1843"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完成时限</w:t>
            </w:r>
          </w:p>
        </w:tc>
        <w:tc>
          <w:tcPr>
            <w:tcW w:w="2891" w:type="dxa"/>
            <w:vAlign w:val="center"/>
          </w:tcPr>
          <w:p>
            <w:pPr>
              <w:pStyle w:val="13"/>
            </w:pPr>
            <w:r>
              <w:t>完成时限</w:t>
            </w:r>
          </w:p>
        </w:tc>
        <w:tc>
          <w:tcPr>
            <w:tcW w:w="1276" w:type="dxa"/>
            <w:vAlign w:val="center"/>
          </w:tcPr>
          <w:p>
            <w:pPr>
              <w:pStyle w:val="13"/>
            </w:pPr>
            <w:r>
              <w:t>2025年12月31日</w:t>
            </w:r>
          </w:p>
        </w:tc>
        <w:tc>
          <w:tcPr>
            <w:tcW w:w="1843"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保障工作正常开展</w:t>
            </w:r>
          </w:p>
        </w:tc>
        <w:tc>
          <w:tcPr>
            <w:tcW w:w="2891" w:type="dxa"/>
            <w:vAlign w:val="center"/>
          </w:tcPr>
          <w:p>
            <w:pPr>
              <w:pStyle w:val="13"/>
            </w:pPr>
            <w:r>
              <w:t>保障工作正常开展</w:t>
            </w:r>
          </w:p>
        </w:tc>
        <w:tc>
          <w:tcPr>
            <w:tcW w:w="1276" w:type="dxa"/>
            <w:vAlign w:val="center"/>
          </w:tcPr>
          <w:p>
            <w:pPr>
              <w:pStyle w:val="13"/>
            </w:pPr>
            <w:r>
              <w:t>保障工作正常开展</w:t>
            </w:r>
          </w:p>
        </w:tc>
        <w:tc>
          <w:tcPr>
            <w:tcW w:w="1843"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&gt;90%</w:t>
            </w:r>
          </w:p>
        </w:tc>
        <w:tc>
          <w:tcPr>
            <w:tcW w:w="1843" w:type="dxa"/>
            <w:vAlign w:val="center"/>
          </w:tcPr>
          <w:p>
            <w:pPr>
              <w:pStyle w:val="13"/>
            </w:pPr>
            <w:r>
              <w:t>年初工作计划</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8" w:name="_Toc_4_4_0000000029"/>
      <w:r>
        <w:rPr>
          <w:rFonts w:ascii="方正仿宋_GBK" w:hAnsi="方正仿宋_GBK" w:eastAsia="方正仿宋_GBK" w:cs="方正仿宋_GBK"/>
          <w:color w:val="000000"/>
          <w:sz w:val="28"/>
        </w:rPr>
        <w:t>26.唐山市司法局2026年第一批中央政法转移支付资金（装备购置）绩效目标表</w:t>
      </w:r>
      <w:bookmarkEnd w:id="28"/>
    </w:p>
    <w:tbl>
      <w:tblPr>
        <w:tblStyle w:val="5"/>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307001唐山市司法局本级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13020026P000155100028</w:t>
            </w:r>
          </w:p>
        </w:tc>
        <w:tc>
          <w:tcPr>
            <w:tcW w:w="1587" w:type="dxa"/>
            <w:vAlign w:val="center"/>
          </w:tcPr>
          <w:p>
            <w:pPr>
              <w:pStyle w:val="14"/>
            </w:pPr>
            <w:r>
              <w:t>项目名称</w:t>
            </w:r>
          </w:p>
        </w:tc>
        <w:tc>
          <w:tcPr>
            <w:tcW w:w="4423" w:type="dxa"/>
            <w:gridSpan w:val="3"/>
            <w:vAlign w:val="center"/>
          </w:tcPr>
          <w:p>
            <w:pPr>
              <w:pStyle w:val="13"/>
            </w:pPr>
            <w:r>
              <w:t>唐山市司法局2026年第一批中央政法转移支付资金（装备购置）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10.20</w:t>
            </w:r>
          </w:p>
        </w:tc>
        <w:tc>
          <w:tcPr>
            <w:tcW w:w="1587" w:type="dxa"/>
            <w:vAlign w:val="center"/>
          </w:tcPr>
          <w:p>
            <w:pPr>
              <w:pStyle w:val="14"/>
            </w:pPr>
            <w:r>
              <w:t>其中：财政    资金</w:t>
            </w:r>
          </w:p>
        </w:tc>
        <w:tc>
          <w:tcPr>
            <w:tcW w:w="1304" w:type="dxa"/>
            <w:vAlign w:val="center"/>
          </w:tcPr>
          <w:p>
            <w:pPr>
              <w:pStyle w:val="13"/>
            </w:pPr>
            <w:r>
              <w:t>10.20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该项目资金用来支付行政复议和依法治市购买业务装备。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10%</w:t>
            </w:r>
          </w:p>
        </w:tc>
        <w:tc>
          <w:tcPr>
            <w:tcW w:w="1587" w:type="dxa"/>
            <w:vAlign w:val="center"/>
          </w:tcPr>
          <w:p>
            <w:pPr>
              <w:pStyle w:val="15"/>
            </w:pPr>
            <w:r>
              <w:t>50%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1.该项目资金用来给行政复议和依法治市购买业务装备，保障工作顺利开展。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购置业务用计算机台数</w:t>
            </w:r>
          </w:p>
        </w:tc>
        <w:tc>
          <w:tcPr>
            <w:tcW w:w="2891" w:type="dxa"/>
            <w:vAlign w:val="center"/>
          </w:tcPr>
          <w:p>
            <w:pPr>
              <w:pStyle w:val="13"/>
            </w:pPr>
            <w:r>
              <w:t>购置业务用计算机台数</w:t>
            </w:r>
          </w:p>
        </w:tc>
        <w:tc>
          <w:tcPr>
            <w:tcW w:w="1276" w:type="dxa"/>
            <w:vAlign w:val="center"/>
          </w:tcPr>
          <w:p>
            <w:pPr>
              <w:pStyle w:val="13"/>
            </w:pPr>
            <w:r>
              <w:t>≥4台</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装备质量合格率</w:t>
            </w:r>
          </w:p>
        </w:tc>
        <w:tc>
          <w:tcPr>
            <w:tcW w:w="2891" w:type="dxa"/>
            <w:vAlign w:val="center"/>
          </w:tcPr>
          <w:p>
            <w:pPr>
              <w:pStyle w:val="13"/>
            </w:pPr>
            <w:r>
              <w:t>装备质量合格率</w:t>
            </w:r>
          </w:p>
        </w:tc>
        <w:tc>
          <w:tcPr>
            <w:tcW w:w="1276" w:type="dxa"/>
            <w:vAlign w:val="center"/>
          </w:tcPr>
          <w:p>
            <w:pPr>
              <w:pStyle w:val="13"/>
            </w:pPr>
            <w:r>
              <w:t>100%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装备采购任务完成及时率</w:t>
            </w:r>
          </w:p>
        </w:tc>
        <w:tc>
          <w:tcPr>
            <w:tcW w:w="2891" w:type="dxa"/>
            <w:vAlign w:val="center"/>
          </w:tcPr>
          <w:p>
            <w:pPr>
              <w:pStyle w:val="13"/>
            </w:pPr>
            <w:r>
              <w:t>装备采购任务完成及时率</w:t>
            </w:r>
          </w:p>
        </w:tc>
        <w:tc>
          <w:tcPr>
            <w:tcW w:w="1276" w:type="dxa"/>
            <w:vAlign w:val="center"/>
          </w:tcPr>
          <w:p>
            <w:pPr>
              <w:pStyle w:val="13"/>
            </w:pPr>
            <w:r>
              <w:t>100%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单台电脑平均购置成本</w:t>
            </w:r>
          </w:p>
        </w:tc>
        <w:tc>
          <w:tcPr>
            <w:tcW w:w="2891" w:type="dxa"/>
            <w:vAlign w:val="center"/>
          </w:tcPr>
          <w:p>
            <w:pPr>
              <w:pStyle w:val="13"/>
            </w:pPr>
            <w:r>
              <w:t>单台电脑平均购置成本</w:t>
            </w:r>
          </w:p>
        </w:tc>
        <w:tc>
          <w:tcPr>
            <w:tcW w:w="1276" w:type="dxa"/>
            <w:vAlign w:val="center"/>
          </w:tcPr>
          <w:p>
            <w:pPr>
              <w:pStyle w:val="13"/>
            </w:pPr>
            <w:r>
              <w:t>≤4500元</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保障行政复议服务畅通率</w:t>
            </w:r>
          </w:p>
        </w:tc>
        <w:tc>
          <w:tcPr>
            <w:tcW w:w="2891" w:type="dxa"/>
            <w:vAlign w:val="center"/>
          </w:tcPr>
          <w:p>
            <w:pPr>
              <w:pStyle w:val="13"/>
            </w:pPr>
            <w:r>
              <w:t>保障行政复议服务畅通率</w:t>
            </w:r>
          </w:p>
        </w:tc>
        <w:tc>
          <w:tcPr>
            <w:tcW w:w="1276" w:type="dxa"/>
            <w:vAlign w:val="center"/>
          </w:tcPr>
          <w:p>
            <w:pPr>
              <w:pStyle w:val="13"/>
            </w:pPr>
            <w:r>
              <w:t>≥90%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装备使用人员满意度</w:t>
            </w:r>
          </w:p>
        </w:tc>
        <w:tc>
          <w:tcPr>
            <w:tcW w:w="2891" w:type="dxa"/>
            <w:vAlign w:val="center"/>
          </w:tcPr>
          <w:p>
            <w:pPr>
              <w:pStyle w:val="13"/>
            </w:pPr>
            <w:r>
              <w:t>装备使用人员满意度</w:t>
            </w:r>
          </w:p>
        </w:tc>
        <w:tc>
          <w:tcPr>
            <w:tcW w:w="1276" w:type="dxa"/>
            <w:vAlign w:val="center"/>
          </w:tcPr>
          <w:p>
            <w:pPr>
              <w:pStyle w:val="13"/>
            </w:pPr>
            <w:r>
              <w:t>≥90%</w:t>
            </w:r>
          </w:p>
        </w:tc>
        <w:tc>
          <w:tcPr>
            <w:tcW w:w="1843" w:type="dxa"/>
            <w:vAlign w:val="center"/>
          </w:tcPr>
          <w:p>
            <w:pPr>
              <w:pStyle w:val="13"/>
            </w:pPr>
            <w:r>
              <w:t>工作计划</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9" w:name="_Toc_4_4_0000000030"/>
      <w:r>
        <w:rPr>
          <w:rFonts w:ascii="方正仿宋_GBK" w:hAnsi="方正仿宋_GBK" w:eastAsia="方正仿宋_GBK" w:cs="方正仿宋_GBK"/>
          <w:color w:val="000000"/>
          <w:sz w:val="28"/>
        </w:rPr>
        <w:t>27.唐山市司法局2026年第一批中央转移支付资金（办案业务费）绩效目标表</w:t>
      </w:r>
      <w:bookmarkEnd w:id="29"/>
    </w:p>
    <w:tbl>
      <w:tblPr>
        <w:tblStyle w:val="5"/>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307001唐山市司法局本级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13020026P00015510003U</w:t>
            </w:r>
          </w:p>
        </w:tc>
        <w:tc>
          <w:tcPr>
            <w:tcW w:w="1587" w:type="dxa"/>
            <w:vAlign w:val="center"/>
          </w:tcPr>
          <w:p>
            <w:pPr>
              <w:pStyle w:val="14"/>
            </w:pPr>
            <w:r>
              <w:t>项目名称</w:t>
            </w:r>
          </w:p>
        </w:tc>
        <w:tc>
          <w:tcPr>
            <w:tcW w:w="4423" w:type="dxa"/>
            <w:gridSpan w:val="3"/>
            <w:vAlign w:val="center"/>
          </w:tcPr>
          <w:p>
            <w:pPr>
              <w:pStyle w:val="13"/>
            </w:pPr>
            <w:r>
              <w:t>唐山市司法局2026年第一批中央转移支付资金（办案业务费）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312.80</w:t>
            </w:r>
          </w:p>
        </w:tc>
        <w:tc>
          <w:tcPr>
            <w:tcW w:w="1587" w:type="dxa"/>
            <w:vAlign w:val="center"/>
          </w:tcPr>
          <w:p>
            <w:pPr>
              <w:pStyle w:val="14"/>
            </w:pPr>
            <w:r>
              <w:t>其中：财政    资金</w:t>
            </w:r>
          </w:p>
        </w:tc>
        <w:tc>
          <w:tcPr>
            <w:tcW w:w="1304" w:type="dxa"/>
            <w:vAlign w:val="center"/>
          </w:tcPr>
          <w:p>
            <w:pPr>
              <w:pStyle w:val="13"/>
            </w:pPr>
            <w:r>
              <w:t>312.80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该资金用于执法依法治市费用、支付执法监督费用，做好普法宣传。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15%</w:t>
            </w:r>
          </w:p>
        </w:tc>
        <w:tc>
          <w:tcPr>
            <w:tcW w:w="1587" w:type="dxa"/>
            <w:vAlign w:val="center"/>
          </w:tcPr>
          <w:p>
            <w:pPr>
              <w:pStyle w:val="15"/>
            </w:pPr>
            <w:r>
              <w:t>50%</w:t>
            </w:r>
          </w:p>
        </w:tc>
        <w:tc>
          <w:tcPr>
            <w:tcW w:w="1304" w:type="dxa"/>
            <w:vAlign w:val="center"/>
          </w:tcPr>
          <w:p>
            <w:pPr>
              <w:pStyle w:val="15"/>
            </w:pPr>
            <w:r>
              <w:t>80%</w:t>
            </w:r>
          </w:p>
        </w:tc>
        <w:tc>
          <w:tcPr>
            <w:tcW w:w="3119"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1.在2026年度内，将该项资金统筹用于推进全面依法治市，发挥行政执法监督作用，做好普法宣传，共创法治社会。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提供法律援助咨询案件数</w:t>
            </w:r>
          </w:p>
        </w:tc>
        <w:tc>
          <w:tcPr>
            <w:tcW w:w="2891" w:type="dxa"/>
            <w:vAlign w:val="center"/>
          </w:tcPr>
          <w:p>
            <w:pPr>
              <w:pStyle w:val="13"/>
            </w:pPr>
            <w:r>
              <w:t>提供法律援助咨询案件数</w:t>
            </w:r>
          </w:p>
        </w:tc>
        <w:tc>
          <w:tcPr>
            <w:tcW w:w="1276" w:type="dxa"/>
            <w:vAlign w:val="center"/>
          </w:tcPr>
          <w:p>
            <w:pPr>
              <w:pStyle w:val="13"/>
            </w:pPr>
            <w:r>
              <w:t>≥300件</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执法监督案件评查合格率</w:t>
            </w:r>
          </w:p>
        </w:tc>
        <w:tc>
          <w:tcPr>
            <w:tcW w:w="2891" w:type="dxa"/>
            <w:vAlign w:val="center"/>
          </w:tcPr>
          <w:p>
            <w:pPr>
              <w:pStyle w:val="13"/>
            </w:pPr>
            <w:r>
              <w:t>执法监督案件评查合格率</w:t>
            </w:r>
          </w:p>
        </w:tc>
        <w:tc>
          <w:tcPr>
            <w:tcW w:w="1276" w:type="dxa"/>
            <w:vAlign w:val="center"/>
          </w:tcPr>
          <w:p>
            <w:pPr>
              <w:pStyle w:val="13"/>
            </w:pPr>
            <w:r>
              <w:t>≥90%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资金支付及时率</w:t>
            </w:r>
          </w:p>
        </w:tc>
        <w:tc>
          <w:tcPr>
            <w:tcW w:w="2891" w:type="dxa"/>
            <w:vAlign w:val="center"/>
          </w:tcPr>
          <w:p>
            <w:pPr>
              <w:pStyle w:val="13"/>
            </w:pPr>
            <w:r>
              <w:t>资金支付及时率</w:t>
            </w:r>
          </w:p>
        </w:tc>
        <w:tc>
          <w:tcPr>
            <w:tcW w:w="1276" w:type="dxa"/>
            <w:vAlign w:val="center"/>
          </w:tcPr>
          <w:p>
            <w:pPr>
              <w:pStyle w:val="13"/>
            </w:pPr>
            <w:r>
              <w:t>100%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单件法律援助案件平均补贴成本</w:t>
            </w:r>
          </w:p>
        </w:tc>
        <w:tc>
          <w:tcPr>
            <w:tcW w:w="2891" w:type="dxa"/>
            <w:vAlign w:val="center"/>
          </w:tcPr>
          <w:p>
            <w:pPr>
              <w:pStyle w:val="13"/>
            </w:pPr>
            <w:r>
              <w:t>单件法律援助案件平均补贴成本</w:t>
            </w:r>
          </w:p>
        </w:tc>
        <w:tc>
          <w:tcPr>
            <w:tcW w:w="1276" w:type="dxa"/>
            <w:vAlign w:val="center"/>
          </w:tcPr>
          <w:p>
            <w:pPr>
              <w:pStyle w:val="13"/>
            </w:pPr>
            <w:r>
              <w:t>≤500元</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法律援助案件群众投诉率</w:t>
            </w:r>
          </w:p>
        </w:tc>
        <w:tc>
          <w:tcPr>
            <w:tcW w:w="2891" w:type="dxa"/>
            <w:vAlign w:val="center"/>
          </w:tcPr>
          <w:p>
            <w:pPr>
              <w:pStyle w:val="13"/>
            </w:pPr>
            <w:r>
              <w:t>法律援助案件群众投诉率</w:t>
            </w:r>
          </w:p>
        </w:tc>
        <w:tc>
          <w:tcPr>
            <w:tcW w:w="1276" w:type="dxa"/>
            <w:vAlign w:val="center"/>
          </w:tcPr>
          <w:p>
            <w:pPr>
              <w:pStyle w:val="13"/>
            </w:pPr>
            <w:r>
              <w:t>≤2%</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提升法律服务专业水平率</w:t>
            </w:r>
          </w:p>
        </w:tc>
        <w:tc>
          <w:tcPr>
            <w:tcW w:w="2891" w:type="dxa"/>
            <w:vAlign w:val="center"/>
          </w:tcPr>
          <w:p>
            <w:pPr>
              <w:pStyle w:val="13"/>
            </w:pPr>
            <w:r>
              <w:t>提升法律服务专业水平率</w:t>
            </w:r>
          </w:p>
        </w:tc>
        <w:tc>
          <w:tcPr>
            <w:tcW w:w="1276" w:type="dxa"/>
            <w:vAlign w:val="center"/>
          </w:tcPr>
          <w:p>
            <w:pPr>
              <w:pStyle w:val="13"/>
            </w:pPr>
            <w:r>
              <w:t>≥30%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业务科室对资金支付满意度</w:t>
            </w:r>
          </w:p>
        </w:tc>
        <w:tc>
          <w:tcPr>
            <w:tcW w:w="2891" w:type="dxa"/>
            <w:vAlign w:val="center"/>
          </w:tcPr>
          <w:p>
            <w:pPr>
              <w:pStyle w:val="13"/>
            </w:pPr>
            <w:r>
              <w:t>业务科室对资金支付满意度</w:t>
            </w:r>
          </w:p>
        </w:tc>
        <w:tc>
          <w:tcPr>
            <w:tcW w:w="1276" w:type="dxa"/>
            <w:vAlign w:val="center"/>
          </w:tcPr>
          <w:p>
            <w:pPr>
              <w:pStyle w:val="13"/>
            </w:pPr>
            <w:r>
              <w:t>≥95%</w:t>
            </w:r>
          </w:p>
        </w:tc>
        <w:tc>
          <w:tcPr>
            <w:tcW w:w="1843" w:type="dxa"/>
            <w:vAlign w:val="center"/>
          </w:tcPr>
          <w:p>
            <w:pPr>
              <w:pStyle w:val="13"/>
            </w:pPr>
            <w:r>
              <w:t>工作计划</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0" w:name="_Toc_4_4_0000000031"/>
      <w:r>
        <w:rPr>
          <w:rFonts w:ascii="方正仿宋_GBK" w:hAnsi="方正仿宋_GBK" w:eastAsia="方正仿宋_GBK" w:cs="方正仿宋_GBK"/>
          <w:color w:val="000000"/>
          <w:sz w:val="28"/>
        </w:rPr>
        <w:t>28.唐山市司法局2026年省级基层转移支付资金绩效目标表</w:t>
      </w:r>
      <w:bookmarkEnd w:id="30"/>
    </w:p>
    <w:tbl>
      <w:tblPr>
        <w:tblStyle w:val="5"/>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307001唐山市司法局本级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13020026P00015610001A</w:t>
            </w:r>
          </w:p>
        </w:tc>
        <w:tc>
          <w:tcPr>
            <w:tcW w:w="1587" w:type="dxa"/>
            <w:vAlign w:val="center"/>
          </w:tcPr>
          <w:p>
            <w:pPr>
              <w:pStyle w:val="14"/>
            </w:pPr>
            <w:r>
              <w:t>项目名称</w:t>
            </w:r>
          </w:p>
        </w:tc>
        <w:tc>
          <w:tcPr>
            <w:tcW w:w="4423" w:type="dxa"/>
            <w:gridSpan w:val="3"/>
            <w:vAlign w:val="center"/>
          </w:tcPr>
          <w:p>
            <w:pPr>
              <w:pStyle w:val="13"/>
            </w:pPr>
            <w:r>
              <w:t>唐山市司法局2026年省级基层转移支付资金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61.00</w:t>
            </w:r>
          </w:p>
        </w:tc>
        <w:tc>
          <w:tcPr>
            <w:tcW w:w="1587" w:type="dxa"/>
            <w:vAlign w:val="center"/>
          </w:tcPr>
          <w:p>
            <w:pPr>
              <w:pStyle w:val="14"/>
            </w:pPr>
            <w:r>
              <w:t>其中：财政    资金</w:t>
            </w:r>
          </w:p>
        </w:tc>
        <w:tc>
          <w:tcPr>
            <w:tcW w:w="1304" w:type="dxa"/>
            <w:vAlign w:val="center"/>
          </w:tcPr>
          <w:p>
            <w:pPr>
              <w:pStyle w:val="13"/>
            </w:pPr>
            <w:r>
              <w:t>61.00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该项目资金用于支付律师管理费、司法鉴定业务经费、安置帮教业务经费、业务装备修理和维护费等。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1.该项目资金用于律师管理经费、司法鉴定业务经费、安置帮教业务经费、业务装备修理和维护等费用，保障司法局工作平稳运行。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举办法律明白人培训场次</w:t>
            </w:r>
          </w:p>
        </w:tc>
        <w:tc>
          <w:tcPr>
            <w:tcW w:w="2891" w:type="dxa"/>
            <w:vAlign w:val="center"/>
          </w:tcPr>
          <w:p>
            <w:pPr>
              <w:pStyle w:val="13"/>
            </w:pPr>
            <w:r>
              <w:t>举办法律明白人培训场次</w:t>
            </w:r>
          </w:p>
        </w:tc>
        <w:tc>
          <w:tcPr>
            <w:tcW w:w="1276" w:type="dxa"/>
            <w:vAlign w:val="center"/>
          </w:tcPr>
          <w:p>
            <w:pPr>
              <w:pStyle w:val="13"/>
            </w:pPr>
            <w:r>
              <w:t>≥2次</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法治宣传活动覆盖目标人群比例</w:t>
            </w:r>
          </w:p>
        </w:tc>
        <w:tc>
          <w:tcPr>
            <w:tcW w:w="2891" w:type="dxa"/>
            <w:vAlign w:val="center"/>
          </w:tcPr>
          <w:p>
            <w:pPr>
              <w:pStyle w:val="13"/>
            </w:pPr>
            <w:r>
              <w:t>法治宣传活动覆盖目标人群比例</w:t>
            </w:r>
          </w:p>
        </w:tc>
        <w:tc>
          <w:tcPr>
            <w:tcW w:w="1276" w:type="dxa"/>
            <w:vAlign w:val="center"/>
          </w:tcPr>
          <w:p>
            <w:pPr>
              <w:pStyle w:val="13"/>
            </w:pPr>
            <w:r>
              <w:t>≥90%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项目任务完成及时率</w:t>
            </w:r>
          </w:p>
        </w:tc>
        <w:tc>
          <w:tcPr>
            <w:tcW w:w="2891" w:type="dxa"/>
            <w:vAlign w:val="center"/>
          </w:tcPr>
          <w:p>
            <w:pPr>
              <w:pStyle w:val="13"/>
            </w:pPr>
            <w:r>
              <w:t>项目任务完成及时率</w:t>
            </w:r>
          </w:p>
        </w:tc>
        <w:tc>
          <w:tcPr>
            <w:tcW w:w="1276" w:type="dxa"/>
            <w:vAlign w:val="center"/>
          </w:tcPr>
          <w:p>
            <w:pPr>
              <w:pStyle w:val="13"/>
            </w:pPr>
            <w:r>
              <w:t>100%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资金支付成本</w:t>
            </w:r>
          </w:p>
        </w:tc>
        <w:tc>
          <w:tcPr>
            <w:tcW w:w="2891" w:type="dxa"/>
            <w:vAlign w:val="center"/>
          </w:tcPr>
          <w:p>
            <w:pPr>
              <w:pStyle w:val="13"/>
            </w:pPr>
            <w:r>
              <w:t>资金支付成本</w:t>
            </w:r>
          </w:p>
        </w:tc>
        <w:tc>
          <w:tcPr>
            <w:tcW w:w="1276" w:type="dxa"/>
            <w:vAlign w:val="center"/>
          </w:tcPr>
          <w:p>
            <w:pPr>
              <w:pStyle w:val="13"/>
            </w:pPr>
            <w:r>
              <w:t>≤61万元</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基层矛盾纠纷调解成功率</w:t>
            </w:r>
          </w:p>
        </w:tc>
        <w:tc>
          <w:tcPr>
            <w:tcW w:w="2891" w:type="dxa"/>
            <w:vAlign w:val="center"/>
          </w:tcPr>
          <w:p>
            <w:pPr>
              <w:pStyle w:val="13"/>
            </w:pPr>
            <w:r>
              <w:t>基层矛盾纠纷调解成功率</w:t>
            </w:r>
          </w:p>
        </w:tc>
        <w:tc>
          <w:tcPr>
            <w:tcW w:w="1276" w:type="dxa"/>
            <w:vAlign w:val="center"/>
          </w:tcPr>
          <w:p>
            <w:pPr>
              <w:pStyle w:val="13"/>
            </w:pPr>
            <w:r>
              <w:t>≥85%</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社区矫正对象满意度</w:t>
            </w:r>
          </w:p>
        </w:tc>
        <w:tc>
          <w:tcPr>
            <w:tcW w:w="2891" w:type="dxa"/>
            <w:vAlign w:val="center"/>
          </w:tcPr>
          <w:p>
            <w:pPr>
              <w:pStyle w:val="13"/>
            </w:pPr>
            <w:r>
              <w:t>社区矫正对象满意度</w:t>
            </w:r>
          </w:p>
        </w:tc>
        <w:tc>
          <w:tcPr>
            <w:tcW w:w="1276" w:type="dxa"/>
            <w:vAlign w:val="center"/>
          </w:tcPr>
          <w:p>
            <w:pPr>
              <w:pStyle w:val="13"/>
            </w:pPr>
            <w:r>
              <w:t>≥90%</w:t>
            </w:r>
          </w:p>
        </w:tc>
        <w:tc>
          <w:tcPr>
            <w:tcW w:w="1843" w:type="dxa"/>
            <w:vAlign w:val="center"/>
          </w:tcPr>
          <w:p>
            <w:pPr>
              <w:pStyle w:val="13"/>
            </w:pPr>
            <w:r>
              <w:t>工作计划</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1" w:name="_Toc_4_4_0000000032"/>
      <w:r>
        <w:rPr>
          <w:rFonts w:ascii="方正仿宋_GBK" w:hAnsi="方正仿宋_GBK" w:eastAsia="方正仿宋_GBK" w:cs="方正仿宋_GBK"/>
          <w:color w:val="000000"/>
          <w:sz w:val="28"/>
        </w:rPr>
        <w:t>29.信访案件鉴定审核专项经费绩效目标表</w:t>
      </w:r>
      <w:bookmarkEnd w:id="31"/>
    </w:p>
    <w:tbl>
      <w:tblPr>
        <w:tblStyle w:val="5"/>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307001唐山市司法局本级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13020026P00003310003A</w:t>
            </w:r>
          </w:p>
        </w:tc>
        <w:tc>
          <w:tcPr>
            <w:tcW w:w="1587" w:type="dxa"/>
            <w:vAlign w:val="center"/>
          </w:tcPr>
          <w:p>
            <w:pPr>
              <w:pStyle w:val="14"/>
            </w:pPr>
            <w:r>
              <w:t>项目名称</w:t>
            </w:r>
          </w:p>
        </w:tc>
        <w:tc>
          <w:tcPr>
            <w:tcW w:w="4423" w:type="dxa"/>
            <w:gridSpan w:val="3"/>
            <w:vAlign w:val="center"/>
          </w:tcPr>
          <w:p>
            <w:pPr>
              <w:pStyle w:val="13"/>
            </w:pPr>
            <w:r>
              <w:t>信访案件鉴定审核专项经费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5.00</w:t>
            </w:r>
          </w:p>
        </w:tc>
        <w:tc>
          <w:tcPr>
            <w:tcW w:w="1587" w:type="dxa"/>
            <w:vAlign w:val="center"/>
          </w:tcPr>
          <w:p>
            <w:pPr>
              <w:pStyle w:val="14"/>
            </w:pPr>
            <w:r>
              <w:t>其中：财政    资金</w:t>
            </w:r>
          </w:p>
        </w:tc>
        <w:tc>
          <w:tcPr>
            <w:tcW w:w="1304" w:type="dxa"/>
            <w:vAlign w:val="center"/>
          </w:tcPr>
          <w:p>
            <w:pPr>
              <w:pStyle w:val="13"/>
            </w:pPr>
            <w:r>
              <w:t>5.00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该项资金用来支付疑难信访问题的律师咨询费。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1.主要用于化解特殊疑难信访问题，帮助解决信访人实际生活困难，实现案结事了、息诉罢访的目标，促进法治社会和谐发展。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组织疑难信访案件专家评审次数</w:t>
            </w:r>
          </w:p>
        </w:tc>
        <w:tc>
          <w:tcPr>
            <w:tcW w:w="2891" w:type="dxa"/>
            <w:vAlign w:val="center"/>
          </w:tcPr>
          <w:p>
            <w:pPr>
              <w:pStyle w:val="13"/>
            </w:pPr>
            <w:r>
              <w:t>组织疑难信访案件专家评审次数</w:t>
            </w:r>
          </w:p>
        </w:tc>
        <w:tc>
          <w:tcPr>
            <w:tcW w:w="1276" w:type="dxa"/>
            <w:vAlign w:val="center"/>
          </w:tcPr>
          <w:p>
            <w:pPr>
              <w:pStyle w:val="13"/>
            </w:pPr>
            <w:r>
              <w:t>≥165次</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鉴定审核程序合规率</w:t>
            </w:r>
          </w:p>
        </w:tc>
        <w:tc>
          <w:tcPr>
            <w:tcW w:w="2891" w:type="dxa"/>
            <w:vAlign w:val="center"/>
          </w:tcPr>
          <w:p>
            <w:pPr>
              <w:pStyle w:val="13"/>
            </w:pPr>
            <w:r>
              <w:t>信访案件鉴定审核程序合规率</w:t>
            </w:r>
          </w:p>
        </w:tc>
        <w:tc>
          <w:tcPr>
            <w:tcW w:w="1276" w:type="dxa"/>
            <w:vAlign w:val="center"/>
          </w:tcPr>
          <w:p>
            <w:pPr>
              <w:pStyle w:val="13"/>
            </w:pPr>
            <w:r>
              <w:t>100%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信访案件鉴定审核任务按时完成率</w:t>
            </w:r>
          </w:p>
        </w:tc>
        <w:tc>
          <w:tcPr>
            <w:tcW w:w="2891" w:type="dxa"/>
            <w:vAlign w:val="center"/>
          </w:tcPr>
          <w:p>
            <w:pPr>
              <w:pStyle w:val="13"/>
            </w:pPr>
            <w:r>
              <w:t>信访案件鉴定审核任务按时完成率</w:t>
            </w:r>
          </w:p>
        </w:tc>
        <w:tc>
          <w:tcPr>
            <w:tcW w:w="1276" w:type="dxa"/>
            <w:vAlign w:val="center"/>
          </w:tcPr>
          <w:p>
            <w:pPr>
              <w:pStyle w:val="13"/>
            </w:pPr>
            <w:r>
              <w:t>100%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单次信访案件平均成本</w:t>
            </w:r>
          </w:p>
        </w:tc>
        <w:tc>
          <w:tcPr>
            <w:tcW w:w="2891" w:type="dxa"/>
            <w:vAlign w:val="center"/>
          </w:tcPr>
          <w:p>
            <w:pPr>
              <w:pStyle w:val="13"/>
            </w:pPr>
            <w:r>
              <w:t>单次信访案件平均成本</w:t>
            </w:r>
          </w:p>
        </w:tc>
        <w:tc>
          <w:tcPr>
            <w:tcW w:w="1276" w:type="dxa"/>
            <w:vAlign w:val="center"/>
          </w:tcPr>
          <w:p>
            <w:pPr>
              <w:pStyle w:val="13"/>
            </w:pPr>
            <w:r>
              <w:t>≤300次</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推动特殊疑难信访事项化解数量</w:t>
            </w:r>
          </w:p>
        </w:tc>
        <w:tc>
          <w:tcPr>
            <w:tcW w:w="2891" w:type="dxa"/>
            <w:vAlign w:val="center"/>
          </w:tcPr>
          <w:p>
            <w:pPr>
              <w:pStyle w:val="13"/>
            </w:pPr>
            <w:r>
              <w:t>推动特殊疑难信访事项化解数量</w:t>
            </w:r>
          </w:p>
        </w:tc>
        <w:tc>
          <w:tcPr>
            <w:tcW w:w="1276" w:type="dxa"/>
            <w:vAlign w:val="center"/>
          </w:tcPr>
          <w:p>
            <w:pPr>
              <w:pStyle w:val="13"/>
            </w:pPr>
            <w:r>
              <w:t>≥100次</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信访人满意度</w:t>
            </w:r>
          </w:p>
        </w:tc>
        <w:tc>
          <w:tcPr>
            <w:tcW w:w="2891" w:type="dxa"/>
            <w:vAlign w:val="center"/>
          </w:tcPr>
          <w:p>
            <w:pPr>
              <w:pStyle w:val="13"/>
            </w:pPr>
            <w:r>
              <w:t>信访人满意度</w:t>
            </w:r>
          </w:p>
        </w:tc>
        <w:tc>
          <w:tcPr>
            <w:tcW w:w="1276" w:type="dxa"/>
            <w:vAlign w:val="center"/>
          </w:tcPr>
          <w:p>
            <w:pPr>
              <w:pStyle w:val="13"/>
            </w:pPr>
            <w:r>
              <w:t>≥90%</w:t>
            </w:r>
          </w:p>
        </w:tc>
        <w:tc>
          <w:tcPr>
            <w:tcW w:w="1843" w:type="dxa"/>
            <w:vAlign w:val="center"/>
          </w:tcPr>
          <w:p>
            <w:pPr>
              <w:pStyle w:val="13"/>
            </w:pPr>
            <w:r>
              <w:t>工作计划</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2" w:name="_Toc_4_4_0000000033"/>
      <w:r>
        <w:rPr>
          <w:rFonts w:ascii="方正仿宋_GBK" w:hAnsi="方正仿宋_GBK" w:eastAsia="方正仿宋_GBK" w:cs="方正仿宋_GBK"/>
          <w:color w:val="000000"/>
          <w:sz w:val="28"/>
        </w:rPr>
        <w:t>30.安防设施设备维护保养费绩效目标表</w:t>
      </w:r>
      <w:bookmarkEnd w:id="32"/>
    </w:p>
    <w:tbl>
      <w:tblPr>
        <w:tblStyle w:val="5"/>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307003唐山市强制隔离戒毒所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13020026P00D4RF10004H</w:t>
            </w:r>
          </w:p>
        </w:tc>
        <w:tc>
          <w:tcPr>
            <w:tcW w:w="1587" w:type="dxa"/>
            <w:vAlign w:val="center"/>
          </w:tcPr>
          <w:p>
            <w:pPr>
              <w:pStyle w:val="14"/>
            </w:pPr>
            <w:r>
              <w:t>项目名称</w:t>
            </w:r>
          </w:p>
        </w:tc>
        <w:tc>
          <w:tcPr>
            <w:tcW w:w="4423" w:type="dxa"/>
            <w:gridSpan w:val="3"/>
            <w:vAlign w:val="center"/>
          </w:tcPr>
          <w:p>
            <w:pPr>
              <w:pStyle w:val="13"/>
            </w:pPr>
            <w:r>
              <w:t>安防设施设备维护保养费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10.00</w:t>
            </w:r>
          </w:p>
        </w:tc>
        <w:tc>
          <w:tcPr>
            <w:tcW w:w="1587" w:type="dxa"/>
            <w:vAlign w:val="center"/>
          </w:tcPr>
          <w:p>
            <w:pPr>
              <w:pStyle w:val="14"/>
            </w:pPr>
            <w:r>
              <w:t>其中：财政    资金</w:t>
            </w:r>
          </w:p>
        </w:tc>
        <w:tc>
          <w:tcPr>
            <w:tcW w:w="1304" w:type="dxa"/>
            <w:vAlign w:val="center"/>
          </w:tcPr>
          <w:p>
            <w:pPr>
              <w:pStyle w:val="13"/>
            </w:pPr>
            <w:r>
              <w:t>10.00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用于支付安防设施设备维修、保养的费用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1.及时对安防设备进行维护保养，保障场所运转安全</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预防性维护保养执行次数</w:t>
            </w:r>
          </w:p>
        </w:tc>
        <w:tc>
          <w:tcPr>
            <w:tcW w:w="2891" w:type="dxa"/>
            <w:vAlign w:val="center"/>
          </w:tcPr>
          <w:p>
            <w:pPr>
              <w:pStyle w:val="13"/>
            </w:pPr>
            <w:r>
              <w:t>预防性维护保养执行次数</w:t>
            </w:r>
          </w:p>
        </w:tc>
        <w:tc>
          <w:tcPr>
            <w:tcW w:w="1276" w:type="dxa"/>
            <w:vAlign w:val="center"/>
          </w:tcPr>
          <w:p>
            <w:pPr>
              <w:pStyle w:val="13"/>
            </w:pPr>
            <w:r>
              <w:t>≥10次</w:t>
            </w:r>
          </w:p>
        </w:tc>
        <w:tc>
          <w:tcPr>
            <w:tcW w:w="184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安防设施设备完好率</w:t>
            </w:r>
          </w:p>
        </w:tc>
        <w:tc>
          <w:tcPr>
            <w:tcW w:w="2891" w:type="dxa"/>
            <w:vAlign w:val="center"/>
          </w:tcPr>
          <w:p>
            <w:pPr>
              <w:pStyle w:val="13"/>
            </w:pPr>
            <w:r>
              <w:t>安防设施设备完好率</w:t>
            </w:r>
          </w:p>
        </w:tc>
        <w:tc>
          <w:tcPr>
            <w:tcW w:w="1276" w:type="dxa"/>
            <w:vAlign w:val="center"/>
          </w:tcPr>
          <w:p>
            <w:pPr>
              <w:pStyle w:val="13"/>
            </w:pPr>
            <w:r>
              <w:t>≥98%</w:t>
            </w:r>
          </w:p>
        </w:tc>
        <w:tc>
          <w:tcPr>
            <w:tcW w:w="184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安防系统维护响应时间</w:t>
            </w:r>
          </w:p>
          <w:p>
            <w:pPr>
              <w:pStyle w:val="13"/>
            </w:pPr>
          </w:p>
        </w:tc>
        <w:tc>
          <w:tcPr>
            <w:tcW w:w="2891" w:type="dxa"/>
            <w:vAlign w:val="center"/>
          </w:tcPr>
          <w:p>
            <w:pPr>
              <w:pStyle w:val="13"/>
            </w:pPr>
            <w:r>
              <w:t>安防系统维护响应时间</w:t>
            </w:r>
          </w:p>
        </w:tc>
        <w:tc>
          <w:tcPr>
            <w:tcW w:w="1276" w:type="dxa"/>
            <w:vAlign w:val="center"/>
          </w:tcPr>
          <w:p>
            <w:pPr>
              <w:pStyle w:val="13"/>
            </w:pPr>
            <w:r>
              <w:t>≤10分钟</w:t>
            </w:r>
          </w:p>
        </w:tc>
        <w:tc>
          <w:tcPr>
            <w:tcW w:w="184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平均单套安防系统年维护成本</w:t>
            </w:r>
          </w:p>
        </w:tc>
        <w:tc>
          <w:tcPr>
            <w:tcW w:w="2891" w:type="dxa"/>
            <w:vAlign w:val="center"/>
          </w:tcPr>
          <w:p>
            <w:pPr>
              <w:pStyle w:val="13"/>
            </w:pPr>
            <w:r>
              <w:t>平均单套安防系统年维护成本</w:t>
            </w:r>
          </w:p>
        </w:tc>
        <w:tc>
          <w:tcPr>
            <w:tcW w:w="1276" w:type="dxa"/>
            <w:vAlign w:val="center"/>
          </w:tcPr>
          <w:p>
            <w:pPr>
              <w:pStyle w:val="13"/>
            </w:pPr>
            <w:r>
              <w:t>≤2.5万元</w:t>
            </w:r>
          </w:p>
        </w:tc>
        <w:tc>
          <w:tcPr>
            <w:tcW w:w="184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安全隐患排查整改率</w:t>
            </w:r>
          </w:p>
        </w:tc>
        <w:tc>
          <w:tcPr>
            <w:tcW w:w="2891" w:type="dxa"/>
            <w:vAlign w:val="center"/>
          </w:tcPr>
          <w:p>
            <w:pPr>
              <w:pStyle w:val="13"/>
            </w:pPr>
            <w:r>
              <w:t>通过维护发现设备安全隐患及时整改的比例</w:t>
            </w:r>
          </w:p>
        </w:tc>
        <w:tc>
          <w:tcPr>
            <w:tcW w:w="1276" w:type="dxa"/>
            <w:vAlign w:val="center"/>
          </w:tcPr>
          <w:p>
            <w:pPr>
              <w:pStyle w:val="13"/>
            </w:pPr>
            <w:r>
              <w:t>100%</w:t>
            </w:r>
          </w:p>
        </w:tc>
        <w:tc>
          <w:tcPr>
            <w:tcW w:w="184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值班干警对于安防设备维护保养的满意度</w:t>
            </w:r>
          </w:p>
        </w:tc>
        <w:tc>
          <w:tcPr>
            <w:tcW w:w="2891" w:type="dxa"/>
            <w:vAlign w:val="center"/>
          </w:tcPr>
          <w:p>
            <w:pPr>
              <w:pStyle w:val="13"/>
            </w:pPr>
            <w:r>
              <w:t>值班干警对于安防设备维护保养的满意度</w:t>
            </w:r>
          </w:p>
        </w:tc>
        <w:tc>
          <w:tcPr>
            <w:tcW w:w="1276" w:type="dxa"/>
            <w:vAlign w:val="center"/>
          </w:tcPr>
          <w:p>
            <w:pPr>
              <w:pStyle w:val="13"/>
            </w:pPr>
            <w:r>
              <w:t>≥90%</w:t>
            </w:r>
          </w:p>
        </w:tc>
        <w:tc>
          <w:tcPr>
            <w:tcW w:w="1843" w:type="dxa"/>
            <w:vAlign w:val="center"/>
          </w:tcPr>
          <w:p>
            <w:pPr>
              <w:pStyle w:val="13"/>
            </w:pPr>
            <w:r>
              <w:t>年度工作计划</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3" w:name="_Toc_4_4_0000000034"/>
      <w:r>
        <w:rPr>
          <w:rFonts w:ascii="方正仿宋_GBK" w:hAnsi="方正仿宋_GBK" w:eastAsia="方正仿宋_GBK" w:cs="方正仿宋_GBK"/>
          <w:color w:val="000000"/>
          <w:sz w:val="28"/>
        </w:rPr>
        <w:t>31.材料制作费绩效目标表</w:t>
      </w:r>
      <w:bookmarkEnd w:id="33"/>
    </w:p>
    <w:tbl>
      <w:tblPr>
        <w:tblStyle w:val="5"/>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307003唐山市强制隔离戒毒所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13020026P00683510362J</w:t>
            </w:r>
          </w:p>
        </w:tc>
        <w:tc>
          <w:tcPr>
            <w:tcW w:w="1587" w:type="dxa"/>
            <w:vAlign w:val="center"/>
          </w:tcPr>
          <w:p>
            <w:pPr>
              <w:pStyle w:val="14"/>
            </w:pPr>
            <w:r>
              <w:t>项目名称</w:t>
            </w:r>
          </w:p>
        </w:tc>
        <w:tc>
          <w:tcPr>
            <w:tcW w:w="4423" w:type="dxa"/>
            <w:gridSpan w:val="3"/>
            <w:vAlign w:val="center"/>
          </w:tcPr>
          <w:p>
            <w:pPr>
              <w:pStyle w:val="13"/>
            </w:pPr>
            <w:r>
              <w:t>材料制作费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5.00</w:t>
            </w:r>
          </w:p>
        </w:tc>
        <w:tc>
          <w:tcPr>
            <w:tcW w:w="1587" w:type="dxa"/>
            <w:vAlign w:val="center"/>
          </w:tcPr>
          <w:p>
            <w:pPr>
              <w:pStyle w:val="14"/>
            </w:pPr>
            <w:r>
              <w:t>其中：财政    资金</w:t>
            </w:r>
          </w:p>
        </w:tc>
        <w:tc>
          <w:tcPr>
            <w:tcW w:w="1304" w:type="dxa"/>
            <w:vAlign w:val="center"/>
          </w:tcPr>
          <w:p>
            <w:pPr>
              <w:pStyle w:val="13"/>
            </w:pPr>
            <w:r>
              <w:t>5.00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制作宣传材料，宣传戒毒常识，从根本上减少社会面吸毒人数。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1.制作宣传材料，宣传戒毒常识，从根本上减少社会面吸毒人数。</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宣传教材印刷数量</w:t>
            </w:r>
          </w:p>
        </w:tc>
        <w:tc>
          <w:tcPr>
            <w:tcW w:w="2891" w:type="dxa"/>
            <w:vAlign w:val="center"/>
          </w:tcPr>
          <w:p>
            <w:pPr>
              <w:pStyle w:val="13"/>
            </w:pPr>
            <w:r>
              <w:t>宣传教材印刷数量</w:t>
            </w:r>
          </w:p>
        </w:tc>
        <w:tc>
          <w:tcPr>
            <w:tcW w:w="1276" w:type="dxa"/>
            <w:vAlign w:val="center"/>
          </w:tcPr>
          <w:p>
            <w:pPr>
              <w:pStyle w:val="13"/>
            </w:pPr>
            <w:r>
              <w:t>≥10000页</w:t>
            </w:r>
          </w:p>
        </w:tc>
        <w:tc>
          <w:tcPr>
            <w:tcW w:w="184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宣传目标合格率</w:t>
            </w:r>
          </w:p>
        </w:tc>
        <w:tc>
          <w:tcPr>
            <w:tcW w:w="2891" w:type="dxa"/>
            <w:vAlign w:val="center"/>
          </w:tcPr>
          <w:p>
            <w:pPr>
              <w:pStyle w:val="13"/>
            </w:pPr>
            <w:r>
              <w:t>宣传目标合格率</w:t>
            </w:r>
          </w:p>
        </w:tc>
        <w:tc>
          <w:tcPr>
            <w:tcW w:w="1276" w:type="dxa"/>
            <w:vAlign w:val="center"/>
          </w:tcPr>
          <w:p>
            <w:pPr>
              <w:pStyle w:val="13"/>
            </w:pPr>
            <w:r>
              <w:t>≥90%</w:t>
            </w:r>
          </w:p>
        </w:tc>
        <w:tc>
          <w:tcPr>
            <w:tcW w:w="184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宣传教育培训完成时间</w:t>
            </w:r>
          </w:p>
        </w:tc>
        <w:tc>
          <w:tcPr>
            <w:tcW w:w="2891" w:type="dxa"/>
            <w:vAlign w:val="center"/>
          </w:tcPr>
          <w:p>
            <w:pPr>
              <w:pStyle w:val="13"/>
            </w:pPr>
            <w:r>
              <w:t>宣传教育培训完成时间</w:t>
            </w:r>
          </w:p>
        </w:tc>
        <w:tc>
          <w:tcPr>
            <w:tcW w:w="1276" w:type="dxa"/>
            <w:vAlign w:val="center"/>
          </w:tcPr>
          <w:p>
            <w:pPr>
              <w:pStyle w:val="13"/>
            </w:pPr>
            <w:r>
              <w:t>≤1周</w:t>
            </w:r>
          </w:p>
        </w:tc>
        <w:tc>
          <w:tcPr>
            <w:tcW w:w="184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平均每次宣传活动所需材料制作成本</w:t>
            </w:r>
          </w:p>
        </w:tc>
        <w:tc>
          <w:tcPr>
            <w:tcW w:w="2891" w:type="dxa"/>
            <w:vAlign w:val="center"/>
          </w:tcPr>
          <w:p>
            <w:pPr>
              <w:pStyle w:val="13"/>
            </w:pPr>
            <w:r>
              <w:t>平均每次宣传活动所需材料制作成本</w:t>
            </w:r>
          </w:p>
        </w:tc>
        <w:tc>
          <w:tcPr>
            <w:tcW w:w="1276" w:type="dxa"/>
            <w:vAlign w:val="center"/>
          </w:tcPr>
          <w:p>
            <w:pPr>
              <w:pStyle w:val="13"/>
            </w:pPr>
            <w:r>
              <w:t>≤1万元</w:t>
            </w:r>
          </w:p>
        </w:tc>
        <w:tc>
          <w:tcPr>
            <w:tcW w:w="184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社会影响力</w:t>
            </w:r>
          </w:p>
        </w:tc>
        <w:tc>
          <w:tcPr>
            <w:tcW w:w="2891" w:type="dxa"/>
            <w:vAlign w:val="center"/>
          </w:tcPr>
          <w:p>
            <w:pPr>
              <w:pStyle w:val="13"/>
            </w:pPr>
            <w:r>
              <w:t>通过开展宣传工作，创造良好的舆论氛围，使戒毒工作得到广大受众的认可</w:t>
            </w:r>
          </w:p>
        </w:tc>
        <w:tc>
          <w:tcPr>
            <w:tcW w:w="1276" w:type="dxa"/>
            <w:vAlign w:val="center"/>
          </w:tcPr>
          <w:p>
            <w:pPr>
              <w:pStyle w:val="13"/>
            </w:pPr>
            <w:r>
              <w:t>≥80%</w:t>
            </w:r>
          </w:p>
        </w:tc>
        <w:tc>
          <w:tcPr>
            <w:tcW w:w="184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群众满意度</w:t>
            </w:r>
          </w:p>
        </w:tc>
        <w:tc>
          <w:tcPr>
            <w:tcW w:w="2891" w:type="dxa"/>
            <w:vAlign w:val="center"/>
          </w:tcPr>
          <w:p>
            <w:pPr>
              <w:pStyle w:val="13"/>
            </w:pPr>
            <w:r>
              <w:t xml:space="preserve"> 戒毒知识宣传群众满意度</w:t>
            </w:r>
          </w:p>
        </w:tc>
        <w:tc>
          <w:tcPr>
            <w:tcW w:w="1276" w:type="dxa"/>
            <w:vAlign w:val="center"/>
          </w:tcPr>
          <w:p>
            <w:pPr>
              <w:pStyle w:val="13"/>
            </w:pPr>
            <w:r>
              <w:t>≥90%</w:t>
            </w:r>
          </w:p>
        </w:tc>
        <w:tc>
          <w:tcPr>
            <w:tcW w:w="1843" w:type="dxa"/>
            <w:vAlign w:val="center"/>
          </w:tcPr>
          <w:p>
            <w:pPr>
              <w:pStyle w:val="13"/>
            </w:pPr>
            <w:r>
              <w:t>年度工作计划</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4" w:name="_Toc_4_4_0000000035"/>
      <w:r>
        <w:rPr>
          <w:rFonts w:ascii="方正仿宋_GBK" w:hAnsi="方正仿宋_GBK" w:eastAsia="方正仿宋_GBK" w:cs="方正仿宋_GBK"/>
          <w:color w:val="000000"/>
          <w:sz w:val="28"/>
        </w:rPr>
        <w:t>32.房产权属登记费绩效目标表</w:t>
      </w:r>
      <w:bookmarkEnd w:id="34"/>
    </w:p>
    <w:tbl>
      <w:tblPr>
        <w:tblStyle w:val="5"/>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307003唐山市强制隔离戒毒所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13020026P00684115398U</w:t>
            </w:r>
          </w:p>
        </w:tc>
        <w:tc>
          <w:tcPr>
            <w:tcW w:w="1587" w:type="dxa"/>
            <w:vAlign w:val="center"/>
          </w:tcPr>
          <w:p>
            <w:pPr>
              <w:pStyle w:val="14"/>
            </w:pPr>
            <w:r>
              <w:t>项目名称</w:t>
            </w:r>
          </w:p>
        </w:tc>
        <w:tc>
          <w:tcPr>
            <w:tcW w:w="4423" w:type="dxa"/>
            <w:gridSpan w:val="3"/>
            <w:vAlign w:val="center"/>
          </w:tcPr>
          <w:p>
            <w:pPr>
              <w:pStyle w:val="13"/>
            </w:pPr>
            <w:r>
              <w:t>房产权属登记费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9.50</w:t>
            </w:r>
          </w:p>
        </w:tc>
        <w:tc>
          <w:tcPr>
            <w:tcW w:w="1587" w:type="dxa"/>
            <w:vAlign w:val="center"/>
          </w:tcPr>
          <w:p>
            <w:pPr>
              <w:pStyle w:val="14"/>
            </w:pPr>
            <w:r>
              <w:t>其中：财政    资金</w:t>
            </w:r>
          </w:p>
        </w:tc>
        <w:tc>
          <w:tcPr>
            <w:tcW w:w="1304" w:type="dxa"/>
            <w:vAlign w:val="center"/>
          </w:tcPr>
          <w:p>
            <w:pPr>
              <w:pStyle w:val="13"/>
            </w:pPr>
            <w:r>
              <w:t>9.50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用于支付办理房产权属登记所需要的房产质量安全鉴定费、规划验收测绘费、规划验收制图费。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100%</w:t>
            </w:r>
          </w:p>
        </w:tc>
        <w:tc>
          <w:tcPr>
            <w:tcW w:w="1304" w:type="dxa"/>
            <w:vAlign w:val="center"/>
          </w:tcPr>
          <w:p>
            <w:pPr>
              <w:pStyle w:val="15"/>
            </w:pPr>
            <w:r>
              <w:t>100%</w:t>
            </w:r>
          </w:p>
        </w:tc>
        <w:tc>
          <w:tcPr>
            <w:tcW w:w="3119"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支付房产质量安全鉴定、规划验收测绘与制图等法定前置服务费用，获取权威、合格的专业报告与成果，为办理房产权属登记提供核心要件。确保我所接待室（原车库）、综合楼、学员食堂、学员宿舍楼四套房产权属清晰、合法、完整。</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完成质量安全鉴定的房产数量</w:t>
            </w:r>
          </w:p>
        </w:tc>
        <w:tc>
          <w:tcPr>
            <w:tcW w:w="2891" w:type="dxa"/>
            <w:vAlign w:val="center"/>
          </w:tcPr>
          <w:p>
            <w:pPr>
              <w:pStyle w:val="13"/>
            </w:pPr>
            <w:r>
              <w:t>完成质量安全鉴定的房产数量</w:t>
            </w:r>
          </w:p>
        </w:tc>
        <w:tc>
          <w:tcPr>
            <w:tcW w:w="1276" w:type="dxa"/>
            <w:vAlign w:val="center"/>
          </w:tcPr>
          <w:p>
            <w:pPr>
              <w:pStyle w:val="13"/>
            </w:pPr>
            <w:r>
              <w:t>4套</w:t>
            </w:r>
          </w:p>
        </w:tc>
        <w:tc>
          <w:tcPr>
            <w:tcW w:w="184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专业报告一次性合格率</w:t>
            </w:r>
          </w:p>
        </w:tc>
        <w:tc>
          <w:tcPr>
            <w:tcW w:w="2891" w:type="dxa"/>
            <w:vAlign w:val="center"/>
          </w:tcPr>
          <w:p>
            <w:pPr>
              <w:pStyle w:val="13"/>
            </w:pPr>
            <w:r>
              <w:t>专业报告一次性合格率</w:t>
            </w:r>
          </w:p>
        </w:tc>
        <w:tc>
          <w:tcPr>
            <w:tcW w:w="1276" w:type="dxa"/>
            <w:vAlign w:val="center"/>
          </w:tcPr>
          <w:p>
            <w:pPr>
              <w:pStyle w:val="13"/>
            </w:pPr>
            <w:r>
              <w:t>100%</w:t>
            </w:r>
          </w:p>
        </w:tc>
        <w:tc>
          <w:tcPr>
            <w:tcW w:w="184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房产权属登记完成时间</w:t>
            </w:r>
          </w:p>
        </w:tc>
        <w:tc>
          <w:tcPr>
            <w:tcW w:w="2891" w:type="dxa"/>
            <w:vAlign w:val="center"/>
          </w:tcPr>
          <w:p>
            <w:pPr>
              <w:pStyle w:val="13"/>
            </w:pPr>
            <w:r>
              <w:t>房产权属登记完成时间</w:t>
            </w:r>
          </w:p>
        </w:tc>
        <w:tc>
          <w:tcPr>
            <w:tcW w:w="1276" w:type="dxa"/>
            <w:vAlign w:val="center"/>
          </w:tcPr>
          <w:p>
            <w:pPr>
              <w:pStyle w:val="13"/>
            </w:pPr>
            <w:r>
              <w:t>在2026年12月31日之前完成</w:t>
            </w:r>
          </w:p>
        </w:tc>
        <w:tc>
          <w:tcPr>
            <w:tcW w:w="184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平均每套房产权属登记成本</w:t>
            </w:r>
          </w:p>
        </w:tc>
        <w:tc>
          <w:tcPr>
            <w:tcW w:w="2891" w:type="dxa"/>
            <w:vAlign w:val="center"/>
          </w:tcPr>
          <w:p>
            <w:pPr>
              <w:pStyle w:val="13"/>
            </w:pPr>
            <w:r>
              <w:t>平均每套房产权属登记成本</w:t>
            </w:r>
          </w:p>
        </w:tc>
        <w:tc>
          <w:tcPr>
            <w:tcW w:w="1276" w:type="dxa"/>
            <w:vAlign w:val="center"/>
          </w:tcPr>
          <w:p>
            <w:pPr>
              <w:pStyle w:val="13"/>
            </w:pPr>
            <w:r>
              <w:t>≤2.37万元</w:t>
            </w:r>
          </w:p>
        </w:tc>
        <w:tc>
          <w:tcPr>
            <w:tcW w:w="184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历史遗留产权问题解决率</w:t>
            </w:r>
          </w:p>
        </w:tc>
        <w:tc>
          <w:tcPr>
            <w:tcW w:w="2891" w:type="dxa"/>
            <w:vAlign w:val="center"/>
          </w:tcPr>
          <w:p>
            <w:pPr>
              <w:pStyle w:val="13"/>
            </w:pPr>
            <w:r>
              <w:t>历史遗留产权问题解决率</w:t>
            </w:r>
          </w:p>
        </w:tc>
        <w:tc>
          <w:tcPr>
            <w:tcW w:w="1276" w:type="dxa"/>
            <w:vAlign w:val="center"/>
          </w:tcPr>
          <w:p>
            <w:pPr>
              <w:pStyle w:val="13"/>
            </w:pPr>
            <w:r>
              <w:t>100%</w:t>
            </w:r>
          </w:p>
        </w:tc>
        <w:tc>
          <w:tcPr>
            <w:tcW w:w="184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资产管理科室对办证流程和结果的满意度</w:t>
            </w:r>
          </w:p>
        </w:tc>
        <w:tc>
          <w:tcPr>
            <w:tcW w:w="2891" w:type="dxa"/>
            <w:vAlign w:val="center"/>
          </w:tcPr>
          <w:p>
            <w:pPr>
              <w:pStyle w:val="13"/>
            </w:pPr>
            <w:r>
              <w:t>资产管理科室对办证流程和结果的满意度</w:t>
            </w:r>
          </w:p>
        </w:tc>
        <w:tc>
          <w:tcPr>
            <w:tcW w:w="1276" w:type="dxa"/>
            <w:vAlign w:val="center"/>
          </w:tcPr>
          <w:p>
            <w:pPr>
              <w:pStyle w:val="13"/>
            </w:pPr>
            <w:r>
              <w:t>≥90%</w:t>
            </w:r>
          </w:p>
        </w:tc>
        <w:tc>
          <w:tcPr>
            <w:tcW w:w="1843" w:type="dxa"/>
            <w:vAlign w:val="center"/>
          </w:tcPr>
          <w:p>
            <w:pPr>
              <w:pStyle w:val="13"/>
            </w:pPr>
            <w:r>
              <w:t>年度工作计划</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5" w:name="_Toc_4_4_0000000036"/>
      <w:r>
        <w:rPr>
          <w:rFonts w:ascii="方正仿宋_GBK" w:hAnsi="方正仿宋_GBK" w:eastAsia="方正仿宋_GBK" w:cs="方正仿宋_GBK"/>
          <w:color w:val="000000"/>
          <w:sz w:val="28"/>
        </w:rPr>
        <w:t>33.干警服装款绩效目标表</w:t>
      </w:r>
      <w:bookmarkEnd w:id="35"/>
    </w:p>
    <w:tbl>
      <w:tblPr>
        <w:tblStyle w:val="5"/>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307003唐山市强制隔离戒毒所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13020026P00D6F810005L</w:t>
            </w:r>
          </w:p>
        </w:tc>
        <w:tc>
          <w:tcPr>
            <w:tcW w:w="1587" w:type="dxa"/>
            <w:vAlign w:val="center"/>
          </w:tcPr>
          <w:p>
            <w:pPr>
              <w:pStyle w:val="14"/>
            </w:pPr>
            <w:r>
              <w:t>项目名称</w:t>
            </w:r>
          </w:p>
        </w:tc>
        <w:tc>
          <w:tcPr>
            <w:tcW w:w="4423" w:type="dxa"/>
            <w:gridSpan w:val="3"/>
            <w:vAlign w:val="center"/>
          </w:tcPr>
          <w:p>
            <w:pPr>
              <w:pStyle w:val="13"/>
            </w:pPr>
            <w:r>
              <w:t>干警服装款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37.40</w:t>
            </w:r>
          </w:p>
        </w:tc>
        <w:tc>
          <w:tcPr>
            <w:tcW w:w="1587" w:type="dxa"/>
            <w:vAlign w:val="center"/>
          </w:tcPr>
          <w:p>
            <w:pPr>
              <w:pStyle w:val="14"/>
            </w:pPr>
            <w:r>
              <w:t>其中：财政    资金</w:t>
            </w:r>
          </w:p>
        </w:tc>
        <w:tc>
          <w:tcPr>
            <w:tcW w:w="1304" w:type="dxa"/>
            <w:vAlign w:val="center"/>
          </w:tcPr>
          <w:p>
            <w:pPr>
              <w:pStyle w:val="13"/>
            </w:pPr>
            <w:r>
              <w:t>37.40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 xml:space="preserve"> 为应发服装干警配发高质量服装，保障场所工作正常开展。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100%</w:t>
            </w:r>
          </w:p>
        </w:tc>
        <w:tc>
          <w:tcPr>
            <w:tcW w:w="3119"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 为应发服装干警配发高质量服装，保障场所工作正常开展。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 xml:space="preserve"> 为干警配发服装的人数</w:t>
            </w:r>
          </w:p>
        </w:tc>
        <w:tc>
          <w:tcPr>
            <w:tcW w:w="2891" w:type="dxa"/>
            <w:vAlign w:val="center"/>
          </w:tcPr>
          <w:p>
            <w:pPr>
              <w:pStyle w:val="13"/>
            </w:pPr>
            <w:r>
              <w:t xml:space="preserve"> 为干警配发服装的人数</w:t>
            </w:r>
          </w:p>
        </w:tc>
        <w:tc>
          <w:tcPr>
            <w:tcW w:w="1276" w:type="dxa"/>
            <w:vAlign w:val="center"/>
          </w:tcPr>
          <w:p>
            <w:pPr>
              <w:pStyle w:val="13"/>
            </w:pPr>
            <w:r>
              <w:t>≥126人</w:t>
            </w:r>
          </w:p>
        </w:tc>
        <w:tc>
          <w:tcPr>
            <w:tcW w:w="184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 xml:space="preserve"> 干警服装的质量</w:t>
            </w:r>
          </w:p>
        </w:tc>
        <w:tc>
          <w:tcPr>
            <w:tcW w:w="2891" w:type="dxa"/>
            <w:vAlign w:val="center"/>
          </w:tcPr>
          <w:p>
            <w:pPr>
              <w:pStyle w:val="13"/>
            </w:pPr>
            <w:r>
              <w:t xml:space="preserve"> 无瑕疵服装占服装总数的比例</w:t>
            </w:r>
          </w:p>
        </w:tc>
        <w:tc>
          <w:tcPr>
            <w:tcW w:w="1276" w:type="dxa"/>
            <w:vAlign w:val="center"/>
          </w:tcPr>
          <w:p>
            <w:pPr>
              <w:pStyle w:val="13"/>
            </w:pPr>
            <w:r>
              <w:t>100%</w:t>
            </w:r>
          </w:p>
        </w:tc>
        <w:tc>
          <w:tcPr>
            <w:tcW w:w="1843" w:type="dxa"/>
            <w:vAlign w:val="center"/>
          </w:tcPr>
          <w:p>
            <w:pPr>
              <w:pStyle w:val="13"/>
            </w:pPr>
            <w:r>
              <w:t>年度工作计划</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 xml:space="preserve"> 为干警配发服装的时长</w:t>
            </w:r>
          </w:p>
        </w:tc>
        <w:tc>
          <w:tcPr>
            <w:tcW w:w="2891" w:type="dxa"/>
            <w:vAlign w:val="center"/>
          </w:tcPr>
          <w:p>
            <w:pPr>
              <w:pStyle w:val="13"/>
            </w:pPr>
            <w:r>
              <w:t xml:space="preserve"> 为干警发放服装所用的时间</w:t>
            </w:r>
          </w:p>
        </w:tc>
        <w:tc>
          <w:tcPr>
            <w:tcW w:w="1276" w:type="dxa"/>
            <w:vAlign w:val="center"/>
          </w:tcPr>
          <w:p>
            <w:pPr>
              <w:pStyle w:val="13"/>
            </w:pPr>
            <w:r>
              <w:t>≤2月</w:t>
            </w:r>
          </w:p>
        </w:tc>
        <w:tc>
          <w:tcPr>
            <w:tcW w:w="1843" w:type="dxa"/>
            <w:vAlign w:val="center"/>
          </w:tcPr>
          <w:p>
            <w:pPr>
              <w:pStyle w:val="13"/>
            </w:pPr>
            <w:r>
              <w:t>年度工作计划</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平均每位干警配发服装所需成本</w:t>
            </w:r>
          </w:p>
        </w:tc>
        <w:tc>
          <w:tcPr>
            <w:tcW w:w="2891" w:type="dxa"/>
            <w:vAlign w:val="center"/>
          </w:tcPr>
          <w:p>
            <w:pPr>
              <w:pStyle w:val="13"/>
            </w:pPr>
            <w:r>
              <w:t>平均每位干警配发服装所需成本</w:t>
            </w:r>
          </w:p>
        </w:tc>
        <w:tc>
          <w:tcPr>
            <w:tcW w:w="1276" w:type="dxa"/>
            <w:vAlign w:val="center"/>
          </w:tcPr>
          <w:p>
            <w:pPr>
              <w:pStyle w:val="13"/>
            </w:pPr>
            <w:r>
              <w:t>≤0.29万元</w:t>
            </w:r>
          </w:p>
        </w:tc>
        <w:tc>
          <w:tcPr>
            <w:tcW w:w="1843" w:type="dxa"/>
            <w:vAlign w:val="center"/>
          </w:tcPr>
          <w:p>
            <w:pPr>
              <w:pStyle w:val="13"/>
            </w:pPr>
            <w:r>
              <w:t>年度工作计划</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保障工作开展</w:t>
            </w:r>
          </w:p>
        </w:tc>
        <w:tc>
          <w:tcPr>
            <w:tcW w:w="2891" w:type="dxa"/>
            <w:vAlign w:val="center"/>
          </w:tcPr>
          <w:p>
            <w:pPr>
              <w:pStyle w:val="13"/>
            </w:pPr>
            <w:r>
              <w:t>保障工作开展</w:t>
            </w:r>
          </w:p>
        </w:tc>
        <w:tc>
          <w:tcPr>
            <w:tcW w:w="1276" w:type="dxa"/>
            <w:vAlign w:val="center"/>
          </w:tcPr>
          <w:p>
            <w:pPr>
              <w:pStyle w:val="13"/>
            </w:pPr>
            <w:r>
              <w:t>100%</w:t>
            </w:r>
          </w:p>
        </w:tc>
        <w:tc>
          <w:tcPr>
            <w:tcW w:w="1843" w:type="dxa"/>
            <w:vAlign w:val="center"/>
          </w:tcPr>
          <w:p>
            <w:pPr>
              <w:pStyle w:val="13"/>
            </w:pPr>
            <w:r>
              <w:t>年度工作计划</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干警对配发服装的满意度</w:t>
            </w:r>
          </w:p>
        </w:tc>
        <w:tc>
          <w:tcPr>
            <w:tcW w:w="2891" w:type="dxa"/>
            <w:vAlign w:val="center"/>
          </w:tcPr>
          <w:p>
            <w:pPr>
              <w:pStyle w:val="13"/>
            </w:pPr>
            <w:r>
              <w:t>干警对配发服装的满意度</w:t>
            </w:r>
          </w:p>
        </w:tc>
        <w:tc>
          <w:tcPr>
            <w:tcW w:w="1276" w:type="dxa"/>
            <w:vAlign w:val="center"/>
          </w:tcPr>
          <w:p>
            <w:pPr>
              <w:pStyle w:val="13"/>
            </w:pPr>
            <w:r>
              <w:t>≥90%</w:t>
            </w:r>
          </w:p>
        </w:tc>
        <w:tc>
          <w:tcPr>
            <w:tcW w:w="1843" w:type="dxa"/>
            <w:vAlign w:val="center"/>
          </w:tcPr>
          <w:p>
            <w:pPr>
              <w:pStyle w:val="13"/>
            </w:pPr>
            <w:r>
              <w:t>年度工作计划</w:t>
            </w:r>
            <w:r>
              <w:tab/>
            </w:r>
          </w:p>
          <w:p>
            <w:pPr>
              <w:pStyle w:val="13"/>
            </w:pP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6" w:name="_Toc_4_4_0000000037"/>
      <w:r>
        <w:rPr>
          <w:rFonts w:ascii="方正仿宋_GBK" w:hAnsi="方正仿宋_GBK" w:eastAsia="方正仿宋_GBK" w:cs="方正仿宋_GBK"/>
          <w:color w:val="000000"/>
          <w:sz w:val="28"/>
        </w:rPr>
        <w:t>34.警犬生活及训练经费绩效目标表</w:t>
      </w:r>
      <w:bookmarkEnd w:id="36"/>
    </w:p>
    <w:tbl>
      <w:tblPr>
        <w:tblStyle w:val="5"/>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307003唐山市强制隔离戒毒所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13020026P00X6XE10004H</w:t>
            </w:r>
          </w:p>
        </w:tc>
        <w:tc>
          <w:tcPr>
            <w:tcW w:w="1587" w:type="dxa"/>
            <w:vAlign w:val="center"/>
          </w:tcPr>
          <w:p>
            <w:pPr>
              <w:pStyle w:val="14"/>
            </w:pPr>
            <w:r>
              <w:t>项目名称</w:t>
            </w:r>
          </w:p>
        </w:tc>
        <w:tc>
          <w:tcPr>
            <w:tcW w:w="4423" w:type="dxa"/>
            <w:gridSpan w:val="3"/>
            <w:vAlign w:val="center"/>
          </w:tcPr>
          <w:p>
            <w:pPr>
              <w:pStyle w:val="13"/>
            </w:pPr>
            <w:r>
              <w:t>警犬生活及训练经费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0.60</w:t>
            </w:r>
          </w:p>
        </w:tc>
        <w:tc>
          <w:tcPr>
            <w:tcW w:w="1587" w:type="dxa"/>
            <w:vAlign w:val="center"/>
          </w:tcPr>
          <w:p>
            <w:pPr>
              <w:pStyle w:val="14"/>
            </w:pPr>
            <w:r>
              <w:t>其中：财政    资金</w:t>
            </w:r>
          </w:p>
        </w:tc>
        <w:tc>
          <w:tcPr>
            <w:tcW w:w="1304" w:type="dxa"/>
            <w:vAlign w:val="center"/>
          </w:tcPr>
          <w:p>
            <w:pPr>
              <w:pStyle w:val="13"/>
            </w:pPr>
            <w:r>
              <w:t>0.60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用于支付警犬生活及训练经费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1.保障警犬能及时处理突发事件</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警犬存栏数量</w:t>
            </w:r>
          </w:p>
        </w:tc>
        <w:tc>
          <w:tcPr>
            <w:tcW w:w="2891" w:type="dxa"/>
            <w:vAlign w:val="center"/>
          </w:tcPr>
          <w:p>
            <w:pPr>
              <w:pStyle w:val="13"/>
            </w:pPr>
            <w:r>
              <w:t>警犬存栏数量</w:t>
            </w:r>
          </w:p>
        </w:tc>
        <w:tc>
          <w:tcPr>
            <w:tcW w:w="1276" w:type="dxa"/>
            <w:vAlign w:val="center"/>
          </w:tcPr>
          <w:p>
            <w:pPr>
              <w:pStyle w:val="13"/>
            </w:pPr>
            <w:r>
              <w:t>1只</w:t>
            </w:r>
          </w:p>
        </w:tc>
        <w:tc>
          <w:tcPr>
            <w:tcW w:w="184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警犬健康正常天数</w:t>
            </w:r>
          </w:p>
        </w:tc>
        <w:tc>
          <w:tcPr>
            <w:tcW w:w="2891" w:type="dxa"/>
            <w:vAlign w:val="center"/>
          </w:tcPr>
          <w:p>
            <w:pPr>
              <w:pStyle w:val="13"/>
            </w:pPr>
            <w:r>
              <w:t>警犬健康正常天数</w:t>
            </w:r>
          </w:p>
        </w:tc>
        <w:tc>
          <w:tcPr>
            <w:tcW w:w="1276" w:type="dxa"/>
            <w:vAlign w:val="center"/>
          </w:tcPr>
          <w:p>
            <w:pPr>
              <w:pStyle w:val="13"/>
            </w:pPr>
            <w:r>
              <w:t>≥350天</w:t>
            </w:r>
          </w:p>
        </w:tc>
        <w:tc>
          <w:tcPr>
            <w:tcW w:w="184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警犬处置突发事件用时</w:t>
            </w:r>
          </w:p>
        </w:tc>
        <w:tc>
          <w:tcPr>
            <w:tcW w:w="2891" w:type="dxa"/>
            <w:vAlign w:val="center"/>
          </w:tcPr>
          <w:p>
            <w:pPr>
              <w:pStyle w:val="13"/>
            </w:pPr>
            <w:r>
              <w:t>警犬处置突发事件用时</w:t>
            </w:r>
          </w:p>
        </w:tc>
        <w:tc>
          <w:tcPr>
            <w:tcW w:w="1276" w:type="dxa"/>
            <w:vAlign w:val="center"/>
          </w:tcPr>
          <w:p>
            <w:pPr>
              <w:pStyle w:val="13"/>
            </w:pPr>
            <w:r>
              <w:t>≤5分钟</w:t>
            </w:r>
          </w:p>
        </w:tc>
        <w:tc>
          <w:tcPr>
            <w:tcW w:w="184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单只警犬生活及训练所需成本</w:t>
            </w:r>
          </w:p>
        </w:tc>
        <w:tc>
          <w:tcPr>
            <w:tcW w:w="2891" w:type="dxa"/>
            <w:vAlign w:val="center"/>
          </w:tcPr>
          <w:p>
            <w:pPr>
              <w:pStyle w:val="13"/>
            </w:pPr>
            <w:r>
              <w:t>单只警犬生活及训练所需成本</w:t>
            </w:r>
          </w:p>
        </w:tc>
        <w:tc>
          <w:tcPr>
            <w:tcW w:w="1276" w:type="dxa"/>
            <w:vAlign w:val="center"/>
          </w:tcPr>
          <w:p>
            <w:pPr>
              <w:pStyle w:val="13"/>
            </w:pPr>
            <w:r>
              <w:t>≤0.6万元</w:t>
            </w:r>
          </w:p>
        </w:tc>
        <w:tc>
          <w:tcPr>
            <w:tcW w:w="184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警犬处置突发事件响应率</w:t>
            </w:r>
          </w:p>
        </w:tc>
        <w:tc>
          <w:tcPr>
            <w:tcW w:w="2891" w:type="dxa"/>
            <w:vAlign w:val="center"/>
          </w:tcPr>
          <w:p>
            <w:pPr>
              <w:pStyle w:val="13"/>
            </w:pPr>
            <w:r>
              <w:t>警犬处置突发事件响应率</w:t>
            </w:r>
          </w:p>
        </w:tc>
        <w:tc>
          <w:tcPr>
            <w:tcW w:w="1276" w:type="dxa"/>
            <w:vAlign w:val="center"/>
          </w:tcPr>
          <w:p>
            <w:pPr>
              <w:pStyle w:val="13"/>
            </w:pPr>
            <w:r>
              <w:t>100%</w:t>
            </w:r>
          </w:p>
        </w:tc>
        <w:tc>
          <w:tcPr>
            <w:tcW w:w="184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服务单位满意度</w:t>
            </w:r>
          </w:p>
        </w:tc>
        <w:tc>
          <w:tcPr>
            <w:tcW w:w="2891" w:type="dxa"/>
            <w:vAlign w:val="center"/>
          </w:tcPr>
          <w:p>
            <w:pPr>
              <w:pStyle w:val="13"/>
            </w:pPr>
            <w:r>
              <w:t>服务单位满意度</w:t>
            </w:r>
          </w:p>
        </w:tc>
        <w:tc>
          <w:tcPr>
            <w:tcW w:w="1276" w:type="dxa"/>
            <w:vAlign w:val="center"/>
          </w:tcPr>
          <w:p>
            <w:pPr>
              <w:pStyle w:val="13"/>
            </w:pPr>
            <w:r>
              <w:t>≥90%</w:t>
            </w:r>
          </w:p>
        </w:tc>
        <w:tc>
          <w:tcPr>
            <w:tcW w:w="1843" w:type="dxa"/>
            <w:vAlign w:val="center"/>
          </w:tcPr>
          <w:p>
            <w:pPr>
              <w:pStyle w:val="13"/>
            </w:pPr>
            <w:r>
              <w:t>年度工作计划</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7" w:name="_Toc_4_4_0000000038"/>
      <w:r>
        <w:rPr>
          <w:rFonts w:ascii="方正仿宋_GBK" w:hAnsi="方正仿宋_GBK" w:eastAsia="方正仿宋_GBK" w:cs="方正仿宋_GBK"/>
          <w:color w:val="000000"/>
          <w:sz w:val="28"/>
        </w:rPr>
        <w:t>35.劳务派遣人员经费绩效目标表</w:t>
      </w:r>
      <w:bookmarkEnd w:id="37"/>
    </w:p>
    <w:tbl>
      <w:tblPr>
        <w:tblStyle w:val="5"/>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307003唐山市强制隔离戒毒所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13020026P00482810004B</w:t>
            </w:r>
          </w:p>
        </w:tc>
        <w:tc>
          <w:tcPr>
            <w:tcW w:w="1587" w:type="dxa"/>
            <w:vAlign w:val="center"/>
          </w:tcPr>
          <w:p>
            <w:pPr>
              <w:pStyle w:val="14"/>
            </w:pPr>
            <w:r>
              <w:t>项目名称</w:t>
            </w:r>
          </w:p>
        </w:tc>
        <w:tc>
          <w:tcPr>
            <w:tcW w:w="4423" w:type="dxa"/>
            <w:gridSpan w:val="3"/>
            <w:vAlign w:val="center"/>
          </w:tcPr>
          <w:p>
            <w:pPr>
              <w:pStyle w:val="13"/>
            </w:pPr>
            <w:r>
              <w:t>劳务派遣人员经费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20.65</w:t>
            </w:r>
          </w:p>
        </w:tc>
        <w:tc>
          <w:tcPr>
            <w:tcW w:w="1587" w:type="dxa"/>
            <w:vAlign w:val="center"/>
          </w:tcPr>
          <w:p>
            <w:pPr>
              <w:pStyle w:val="14"/>
            </w:pPr>
            <w:r>
              <w:t>其中：财政    资金</w:t>
            </w:r>
          </w:p>
        </w:tc>
        <w:tc>
          <w:tcPr>
            <w:tcW w:w="1304" w:type="dxa"/>
            <w:vAlign w:val="center"/>
          </w:tcPr>
          <w:p>
            <w:pPr>
              <w:pStyle w:val="13"/>
            </w:pPr>
            <w:r>
              <w:t>20.65</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按时支付劳务派遣人员工资、保险，按时缴纳住房公积金，确保派遣人员队伍稳定、素质合格、管理规范。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1.按时支付劳务派遣人员工资、保险，按时缴纳住房公积金，确保派遣人员队伍稳定、素质合格、管理规范。</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发放劳务派遣人员工资人数</w:t>
            </w:r>
          </w:p>
        </w:tc>
        <w:tc>
          <w:tcPr>
            <w:tcW w:w="2891" w:type="dxa"/>
            <w:vAlign w:val="center"/>
          </w:tcPr>
          <w:p>
            <w:pPr>
              <w:pStyle w:val="13"/>
            </w:pPr>
            <w:r>
              <w:t>发放劳务派遣人员工资人数</w:t>
            </w:r>
          </w:p>
        </w:tc>
        <w:tc>
          <w:tcPr>
            <w:tcW w:w="1276" w:type="dxa"/>
            <w:vAlign w:val="center"/>
          </w:tcPr>
          <w:p>
            <w:pPr>
              <w:pStyle w:val="13"/>
            </w:pPr>
            <w:r>
              <w:t>4人</w:t>
            </w:r>
          </w:p>
        </w:tc>
        <w:tc>
          <w:tcPr>
            <w:tcW w:w="184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劳务派遣人员考核合格率</w:t>
            </w:r>
          </w:p>
        </w:tc>
        <w:tc>
          <w:tcPr>
            <w:tcW w:w="2891" w:type="dxa"/>
            <w:vAlign w:val="center"/>
          </w:tcPr>
          <w:p>
            <w:pPr>
              <w:pStyle w:val="13"/>
            </w:pPr>
            <w:r>
              <w:t>年度考核达到合格以上标准的人员比例</w:t>
            </w:r>
          </w:p>
        </w:tc>
        <w:tc>
          <w:tcPr>
            <w:tcW w:w="1276" w:type="dxa"/>
            <w:vAlign w:val="center"/>
          </w:tcPr>
          <w:p>
            <w:pPr>
              <w:pStyle w:val="13"/>
            </w:pPr>
            <w:r>
              <w:t>≥90%</w:t>
            </w:r>
          </w:p>
        </w:tc>
        <w:tc>
          <w:tcPr>
            <w:tcW w:w="184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工资、保险、公积金支付时间</w:t>
            </w:r>
          </w:p>
        </w:tc>
        <w:tc>
          <w:tcPr>
            <w:tcW w:w="2891" w:type="dxa"/>
            <w:vAlign w:val="center"/>
          </w:tcPr>
          <w:p>
            <w:pPr>
              <w:pStyle w:val="13"/>
            </w:pPr>
            <w:r>
              <w:t>工资、保险、公积金支付时间</w:t>
            </w:r>
          </w:p>
        </w:tc>
        <w:tc>
          <w:tcPr>
            <w:tcW w:w="1276" w:type="dxa"/>
            <w:vAlign w:val="center"/>
          </w:tcPr>
          <w:p>
            <w:pPr>
              <w:pStyle w:val="13"/>
            </w:pPr>
            <w:r>
              <w:t>≤1月</w:t>
            </w:r>
          </w:p>
        </w:tc>
        <w:tc>
          <w:tcPr>
            <w:tcW w:w="184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劳务派遣人员人均年度经费</w:t>
            </w:r>
          </w:p>
        </w:tc>
        <w:tc>
          <w:tcPr>
            <w:tcW w:w="2891" w:type="dxa"/>
            <w:vAlign w:val="center"/>
          </w:tcPr>
          <w:p>
            <w:pPr>
              <w:pStyle w:val="13"/>
            </w:pPr>
            <w:r>
              <w:t>劳务派遣人员人均年度经费</w:t>
            </w:r>
          </w:p>
        </w:tc>
        <w:tc>
          <w:tcPr>
            <w:tcW w:w="1276" w:type="dxa"/>
            <w:vAlign w:val="center"/>
          </w:tcPr>
          <w:p>
            <w:pPr>
              <w:pStyle w:val="13"/>
            </w:pPr>
            <w:r>
              <w:t>≤5.16万元</w:t>
            </w:r>
          </w:p>
        </w:tc>
        <w:tc>
          <w:tcPr>
            <w:tcW w:w="184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场所基础保障工作正常运行率</w:t>
            </w:r>
          </w:p>
        </w:tc>
        <w:tc>
          <w:tcPr>
            <w:tcW w:w="2891" w:type="dxa"/>
            <w:vAlign w:val="center"/>
          </w:tcPr>
          <w:p>
            <w:pPr>
              <w:pStyle w:val="13"/>
            </w:pPr>
            <w:r>
              <w:t>场所基础保障工作正常运行率</w:t>
            </w:r>
          </w:p>
        </w:tc>
        <w:tc>
          <w:tcPr>
            <w:tcW w:w="1276" w:type="dxa"/>
            <w:vAlign w:val="center"/>
          </w:tcPr>
          <w:p>
            <w:pPr>
              <w:pStyle w:val="13"/>
            </w:pPr>
            <w:r>
              <w:t>100%</w:t>
            </w:r>
          </w:p>
        </w:tc>
        <w:tc>
          <w:tcPr>
            <w:tcW w:w="184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 xml:space="preserve"> 劳务派遣人员满意度</w:t>
            </w:r>
          </w:p>
        </w:tc>
        <w:tc>
          <w:tcPr>
            <w:tcW w:w="2891" w:type="dxa"/>
            <w:vAlign w:val="center"/>
          </w:tcPr>
          <w:p>
            <w:pPr>
              <w:pStyle w:val="13"/>
            </w:pPr>
            <w:r>
              <w:t xml:space="preserve"> 劳务派遣人员满意度</w:t>
            </w:r>
          </w:p>
        </w:tc>
        <w:tc>
          <w:tcPr>
            <w:tcW w:w="1276" w:type="dxa"/>
            <w:vAlign w:val="center"/>
          </w:tcPr>
          <w:p>
            <w:pPr>
              <w:pStyle w:val="13"/>
            </w:pPr>
            <w:r>
              <w:t>≥95%</w:t>
            </w:r>
          </w:p>
        </w:tc>
        <w:tc>
          <w:tcPr>
            <w:tcW w:w="1843" w:type="dxa"/>
            <w:vAlign w:val="center"/>
          </w:tcPr>
          <w:p>
            <w:pPr>
              <w:pStyle w:val="13"/>
            </w:pPr>
            <w:r>
              <w:t>年度工作计划</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8" w:name="_Toc_4_4_0000000039"/>
      <w:r>
        <w:rPr>
          <w:rFonts w:ascii="方正仿宋_GBK" w:hAnsi="方正仿宋_GBK" w:eastAsia="方正仿宋_GBK" w:cs="方正仿宋_GBK"/>
          <w:color w:val="000000"/>
          <w:sz w:val="28"/>
        </w:rPr>
        <w:t>36.设施改造绩效目标表</w:t>
      </w:r>
      <w:bookmarkEnd w:id="38"/>
    </w:p>
    <w:tbl>
      <w:tblPr>
        <w:tblStyle w:val="5"/>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307003唐山市强制隔离戒毒所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13020026P00682510637M</w:t>
            </w:r>
          </w:p>
        </w:tc>
        <w:tc>
          <w:tcPr>
            <w:tcW w:w="1587" w:type="dxa"/>
            <w:vAlign w:val="center"/>
          </w:tcPr>
          <w:p>
            <w:pPr>
              <w:pStyle w:val="14"/>
            </w:pPr>
            <w:r>
              <w:t>项目名称</w:t>
            </w:r>
          </w:p>
        </w:tc>
        <w:tc>
          <w:tcPr>
            <w:tcW w:w="4423" w:type="dxa"/>
            <w:gridSpan w:val="3"/>
            <w:vAlign w:val="center"/>
          </w:tcPr>
          <w:p>
            <w:pPr>
              <w:pStyle w:val="13"/>
            </w:pPr>
            <w:r>
              <w:t>设施改造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8.00</w:t>
            </w:r>
          </w:p>
        </w:tc>
        <w:tc>
          <w:tcPr>
            <w:tcW w:w="1587" w:type="dxa"/>
            <w:vAlign w:val="center"/>
          </w:tcPr>
          <w:p>
            <w:pPr>
              <w:pStyle w:val="14"/>
            </w:pPr>
            <w:r>
              <w:t>其中：财政    资金</w:t>
            </w:r>
          </w:p>
        </w:tc>
        <w:tc>
          <w:tcPr>
            <w:tcW w:w="1304" w:type="dxa"/>
            <w:vAlign w:val="center"/>
          </w:tcPr>
          <w:p>
            <w:pPr>
              <w:pStyle w:val="13"/>
            </w:pPr>
            <w:r>
              <w:t>8.00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用于维修干警食堂，彻底消除现有食堂建筑安全隐患。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1.通过本次维修改造，彻底消除现有食堂建筑安全隐患，为全体干警提供安全、卫生的就餐环境。</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改造面积</w:t>
            </w:r>
          </w:p>
        </w:tc>
        <w:tc>
          <w:tcPr>
            <w:tcW w:w="2891" w:type="dxa"/>
            <w:vAlign w:val="center"/>
          </w:tcPr>
          <w:p>
            <w:pPr>
              <w:pStyle w:val="13"/>
            </w:pPr>
            <w:r>
              <w:t>改造面积</w:t>
            </w:r>
          </w:p>
        </w:tc>
        <w:tc>
          <w:tcPr>
            <w:tcW w:w="1276" w:type="dxa"/>
            <w:vAlign w:val="center"/>
          </w:tcPr>
          <w:p>
            <w:pPr>
              <w:pStyle w:val="13"/>
            </w:pPr>
            <w:r>
              <w:t>≥100平方米</w:t>
            </w:r>
          </w:p>
        </w:tc>
        <w:tc>
          <w:tcPr>
            <w:tcW w:w="184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工程竣工验收合格率</w:t>
            </w:r>
          </w:p>
        </w:tc>
        <w:tc>
          <w:tcPr>
            <w:tcW w:w="2891" w:type="dxa"/>
            <w:vAlign w:val="center"/>
          </w:tcPr>
          <w:p>
            <w:pPr>
              <w:pStyle w:val="13"/>
            </w:pPr>
            <w:r>
              <w:t>工程竣工验收合格率</w:t>
            </w:r>
          </w:p>
        </w:tc>
        <w:tc>
          <w:tcPr>
            <w:tcW w:w="1276" w:type="dxa"/>
            <w:vAlign w:val="center"/>
          </w:tcPr>
          <w:p>
            <w:pPr>
              <w:pStyle w:val="13"/>
            </w:pPr>
            <w:r>
              <w:t>100%</w:t>
            </w:r>
          </w:p>
        </w:tc>
        <w:tc>
          <w:tcPr>
            <w:tcW w:w="184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设施改造完成时限</w:t>
            </w:r>
          </w:p>
        </w:tc>
        <w:tc>
          <w:tcPr>
            <w:tcW w:w="2891" w:type="dxa"/>
            <w:vAlign w:val="center"/>
          </w:tcPr>
          <w:p>
            <w:pPr>
              <w:pStyle w:val="13"/>
            </w:pPr>
            <w:r>
              <w:t>设施改造完成时限</w:t>
            </w:r>
          </w:p>
        </w:tc>
        <w:tc>
          <w:tcPr>
            <w:tcW w:w="1276" w:type="dxa"/>
            <w:vAlign w:val="center"/>
          </w:tcPr>
          <w:p>
            <w:pPr>
              <w:pStyle w:val="13"/>
            </w:pPr>
            <w:r>
              <w:t>≤2月</w:t>
            </w:r>
          </w:p>
        </w:tc>
        <w:tc>
          <w:tcPr>
            <w:tcW w:w="184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设施改造单位面积成本</w:t>
            </w:r>
          </w:p>
        </w:tc>
        <w:tc>
          <w:tcPr>
            <w:tcW w:w="2891" w:type="dxa"/>
            <w:vAlign w:val="center"/>
          </w:tcPr>
          <w:p>
            <w:pPr>
              <w:pStyle w:val="13"/>
            </w:pPr>
            <w:r>
              <w:t>设施改造单位面积成本</w:t>
            </w:r>
          </w:p>
        </w:tc>
        <w:tc>
          <w:tcPr>
            <w:tcW w:w="1276" w:type="dxa"/>
            <w:vAlign w:val="center"/>
          </w:tcPr>
          <w:p>
            <w:pPr>
              <w:pStyle w:val="13"/>
            </w:pPr>
            <w:r>
              <w:t>≤0.08万元</w:t>
            </w:r>
          </w:p>
        </w:tc>
        <w:tc>
          <w:tcPr>
            <w:tcW w:w="184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改造后干警食堂服务干警人数</w:t>
            </w:r>
          </w:p>
        </w:tc>
        <w:tc>
          <w:tcPr>
            <w:tcW w:w="2891" w:type="dxa"/>
            <w:vAlign w:val="center"/>
          </w:tcPr>
          <w:p>
            <w:pPr>
              <w:pStyle w:val="13"/>
            </w:pPr>
            <w:r>
              <w:t>改造后干警食堂服务干警人数</w:t>
            </w:r>
          </w:p>
        </w:tc>
        <w:tc>
          <w:tcPr>
            <w:tcW w:w="1276" w:type="dxa"/>
            <w:vAlign w:val="center"/>
          </w:tcPr>
          <w:p>
            <w:pPr>
              <w:pStyle w:val="13"/>
            </w:pPr>
            <w:r>
              <w:t>≥150人</w:t>
            </w:r>
          </w:p>
        </w:tc>
        <w:tc>
          <w:tcPr>
            <w:tcW w:w="184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干警对食堂改造后的满意度</w:t>
            </w:r>
          </w:p>
        </w:tc>
        <w:tc>
          <w:tcPr>
            <w:tcW w:w="2891" w:type="dxa"/>
            <w:vAlign w:val="center"/>
          </w:tcPr>
          <w:p>
            <w:pPr>
              <w:pStyle w:val="13"/>
            </w:pPr>
            <w:r>
              <w:t>干警对食堂改造后的满意度</w:t>
            </w:r>
          </w:p>
        </w:tc>
        <w:tc>
          <w:tcPr>
            <w:tcW w:w="1276" w:type="dxa"/>
            <w:vAlign w:val="center"/>
          </w:tcPr>
          <w:p>
            <w:pPr>
              <w:pStyle w:val="13"/>
            </w:pPr>
            <w:r>
              <w:t>≥90%</w:t>
            </w:r>
          </w:p>
        </w:tc>
        <w:tc>
          <w:tcPr>
            <w:tcW w:w="1843" w:type="dxa"/>
            <w:vAlign w:val="center"/>
          </w:tcPr>
          <w:p>
            <w:pPr>
              <w:pStyle w:val="13"/>
            </w:pPr>
            <w:r>
              <w:t>年度工作计划</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9" w:name="_Toc_4_4_0000000040"/>
      <w:r>
        <w:rPr>
          <w:rFonts w:ascii="方正仿宋_GBK" w:hAnsi="方正仿宋_GBK" w:eastAsia="方正仿宋_GBK" w:cs="方正仿宋_GBK"/>
          <w:color w:val="000000"/>
          <w:sz w:val="28"/>
        </w:rPr>
        <w:t>37.太阳能热水设备维护费绩效目标表</w:t>
      </w:r>
      <w:bookmarkEnd w:id="39"/>
    </w:p>
    <w:tbl>
      <w:tblPr>
        <w:tblStyle w:val="5"/>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307003唐山市强制隔离戒毒所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13020026P00DHPT100046</w:t>
            </w:r>
          </w:p>
        </w:tc>
        <w:tc>
          <w:tcPr>
            <w:tcW w:w="1587" w:type="dxa"/>
            <w:vAlign w:val="center"/>
          </w:tcPr>
          <w:p>
            <w:pPr>
              <w:pStyle w:val="14"/>
            </w:pPr>
            <w:r>
              <w:t>项目名称</w:t>
            </w:r>
          </w:p>
        </w:tc>
        <w:tc>
          <w:tcPr>
            <w:tcW w:w="4423" w:type="dxa"/>
            <w:gridSpan w:val="3"/>
            <w:vAlign w:val="center"/>
          </w:tcPr>
          <w:p>
            <w:pPr>
              <w:pStyle w:val="13"/>
            </w:pPr>
            <w:r>
              <w:t>太阳能热水设备维护费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3.50</w:t>
            </w:r>
          </w:p>
        </w:tc>
        <w:tc>
          <w:tcPr>
            <w:tcW w:w="1587" w:type="dxa"/>
            <w:vAlign w:val="center"/>
          </w:tcPr>
          <w:p>
            <w:pPr>
              <w:pStyle w:val="14"/>
            </w:pPr>
            <w:r>
              <w:t>其中：财政    资金</w:t>
            </w:r>
          </w:p>
        </w:tc>
        <w:tc>
          <w:tcPr>
            <w:tcW w:w="1304" w:type="dxa"/>
            <w:vAlign w:val="center"/>
          </w:tcPr>
          <w:p>
            <w:pPr>
              <w:pStyle w:val="13"/>
            </w:pPr>
            <w:r>
              <w:t>3.50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及时维修太阳能热水设备，保障干警和学生的洗浴问题。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1.及时维修太阳能热水设备，保障值班干警和学生的洗浴问题。</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太阳能热水设备维修次数</w:t>
            </w:r>
          </w:p>
        </w:tc>
        <w:tc>
          <w:tcPr>
            <w:tcW w:w="2891" w:type="dxa"/>
            <w:vAlign w:val="center"/>
          </w:tcPr>
          <w:p>
            <w:pPr>
              <w:pStyle w:val="13"/>
            </w:pPr>
            <w:r>
              <w:t>太阳能热水设备维修次数</w:t>
            </w:r>
          </w:p>
        </w:tc>
        <w:tc>
          <w:tcPr>
            <w:tcW w:w="1276" w:type="dxa"/>
            <w:vAlign w:val="center"/>
          </w:tcPr>
          <w:p>
            <w:pPr>
              <w:pStyle w:val="13"/>
            </w:pPr>
            <w:r>
              <w:t>≥2次</w:t>
            </w:r>
          </w:p>
        </w:tc>
        <w:tc>
          <w:tcPr>
            <w:tcW w:w="184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维修合格率(%)</w:t>
            </w:r>
          </w:p>
        </w:tc>
        <w:tc>
          <w:tcPr>
            <w:tcW w:w="2891" w:type="dxa"/>
            <w:vAlign w:val="center"/>
          </w:tcPr>
          <w:p>
            <w:pPr>
              <w:pStyle w:val="13"/>
            </w:pPr>
            <w:r>
              <w:t>维修合格率(%)</w:t>
            </w:r>
          </w:p>
        </w:tc>
        <w:tc>
          <w:tcPr>
            <w:tcW w:w="1276" w:type="dxa"/>
            <w:vAlign w:val="center"/>
          </w:tcPr>
          <w:p>
            <w:pPr>
              <w:pStyle w:val="13"/>
            </w:pPr>
            <w:r>
              <w:t>≥90%</w:t>
            </w:r>
          </w:p>
        </w:tc>
        <w:tc>
          <w:tcPr>
            <w:tcW w:w="184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维修所用时长</w:t>
            </w:r>
          </w:p>
        </w:tc>
        <w:tc>
          <w:tcPr>
            <w:tcW w:w="2891" w:type="dxa"/>
            <w:vAlign w:val="center"/>
          </w:tcPr>
          <w:p>
            <w:pPr>
              <w:pStyle w:val="13"/>
            </w:pPr>
            <w:r>
              <w:t>维修所用时长</w:t>
            </w:r>
          </w:p>
        </w:tc>
        <w:tc>
          <w:tcPr>
            <w:tcW w:w="1276" w:type="dxa"/>
            <w:vAlign w:val="center"/>
          </w:tcPr>
          <w:p>
            <w:pPr>
              <w:pStyle w:val="13"/>
            </w:pPr>
            <w:r>
              <w:t>≤5天</w:t>
            </w:r>
          </w:p>
        </w:tc>
        <w:tc>
          <w:tcPr>
            <w:tcW w:w="184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单次太阳能热水设备维修成本</w:t>
            </w:r>
          </w:p>
        </w:tc>
        <w:tc>
          <w:tcPr>
            <w:tcW w:w="2891" w:type="dxa"/>
            <w:vAlign w:val="center"/>
          </w:tcPr>
          <w:p>
            <w:pPr>
              <w:pStyle w:val="13"/>
            </w:pPr>
            <w:r>
              <w:t>单次太阳能热水设备维修成本</w:t>
            </w:r>
          </w:p>
        </w:tc>
        <w:tc>
          <w:tcPr>
            <w:tcW w:w="1276" w:type="dxa"/>
            <w:vAlign w:val="center"/>
          </w:tcPr>
          <w:p>
            <w:pPr>
              <w:pStyle w:val="13"/>
            </w:pPr>
            <w:r>
              <w:t>≤1.75万元</w:t>
            </w:r>
          </w:p>
        </w:tc>
        <w:tc>
          <w:tcPr>
            <w:tcW w:w="184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维修达到安全生产的比例</w:t>
            </w:r>
          </w:p>
        </w:tc>
        <w:tc>
          <w:tcPr>
            <w:tcW w:w="2891" w:type="dxa"/>
            <w:vAlign w:val="center"/>
          </w:tcPr>
          <w:p>
            <w:pPr>
              <w:pStyle w:val="13"/>
            </w:pPr>
            <w:r>
              <w:t>维修达到安全生产的比例</w:t>
            </w:r>
          </w:p>
        </w:tc>
        <w:tc>
          <w:tcPr>
            <w:tcW w:w="1276" w:type="dxa"/>
            <w:vAlign w:val="center"/>
          </w:tcPr>
          <w:p>
            <w:pPr>
              <w:pStyle w:val="13"/>
            </w:pPr>
            <w:r>
              <w:t>100%</w:t>
            </w:r>
          </w:p>
        </w:tc>
        <w:tc>
          <w:tcPr>
            <w:tcW w:w="184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 xml:space="preserve"> 干警对设备维修后的满意度</w:t>
            </w:r>
          </w:p>
        </w:tc>
        <w:tc>
          <w:tcPr>
            <w:tcW w:w="2891" w:type="dxa"/>
            <w:vAlign w:val="center"/>
          </w:tcPr>
          <w:p>
            <w:pPr>
              <w:pStyle w:val="13"/>
            </w:pPr>
            <w:r>
              <w:t xml:space="preserve"> 干警对设备维修后的满意度</w:t>
            </w:r>
          </w:p>
        </w:tc>
        <w:tc>
          <w:tcPr>
            <w:tcW w:w="1276" w:type="dxa"/>
            <w:vAlign w:val="center"/>
          </w:tcPr>
          <w:p>
            <w:pPr>
              <w:pStyle w:val="13"/>
            </w:pPr>
            <w:r>
              <w:t>≥90%</w:t>
            </w:r>
          </w:p>
        </w:tc>
        <w:tc>
          <w:tcPr>
            <w:tcW w:w="1843" w:type="dxa"/>
            <w:vAlign w:val="center"/>
          </w:tcPr>
          <w:p>
            <w:pPr>
              <w:pStyle w:val="13"/>
            </w:pPr>
            <w:r>
              <w:t>年度工作计划</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0" w:name="_Toc_4_4_0000000041"/>
      <w:r>
        <w:rPr>
          <w:rFonts w:ascii="方正仿宋_GBK" w:hAnsi="方正仿宋_GBK" w:eastAsia="方正仿宋_GBK" w:cs="方正仿宋_GBK"/>
          <w:color w:val="000000"/>
          <w:sz w:val="28"/>
        </w:rPr>
        <w:t>38.特别抚恤金绩效目标表</w:t>
      </w:r>
      <w:bookmarkEnd w:id="40"/>
    </w:p>
    <w:tbl>
      <w:tblPr>
        <w:tblStyle w:val="5"/>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307003唐山市强制隔离戒毒所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13020026P00TJTP10003G</w:t>
            </w:r>
          </w:p>
        </w:tc>
        <w:tc>
          <w:tcPr>
            <w:tcW w:w="1587" w:type="dxa"/>
            <w:vAlign w:val="center"/>
          </w:tcPr>
          <w:p>
            <w:pPr>
              <w:pStyle w:val="14"/>
            </w:pPr>
            <w:r>
              <w:t>项目名称</w:t>
            </w:r>
          </w:p>
        </w:tc>
        <w:tc>
          <w:tcPr>
            <w:tcW w:w="4423" w:type="dxa"/>
            <w:gridSpan w:val="3"/>
            <w:vAlign w:val="center"/>
          </w:tcPr>
          <w:p>
            <w:pPr>
              <w:pStyle w:val="13"/>
            </w:pPr>
            <w:r>
              <w:t>特别抚恤金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2.00</w:t>
            </w:r>
          </w:p>
        </w:tc>
        <w:tc>
          <w:tcPr>
            <w:tcW w:w="1587" w:type="dxa"/>
            <w:vAlign w:val="center"/>
          </w:tcPr>
          <w:p>
            <w:pPr>
              <w:pStyle w:val="14"/>
            </w:pPr>
            <w:r>
              <w:t>其中：财政    资金</w:t>
            </w:r>
          </w:p>
        </w:tc>
        <w:tc>
          <w:tcPr>
            <w:tcW w:w="1304" w:type="dxa"/>
            <w:vAlign w:val="center"/>
          </w:tcPr>
          <w:p>
            <w:pPr>
              <w:pStyle w:val="13"/>
            </w:pPr>
            <w:r>
              <w:t>2.00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按时全额发放特别抚恤金，提高去世干警家属的生活水平。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50%</w:t>
            </w:r>
          </w:p>
        </w:tc>
        <w:tc>
          <w:tcPr>
            <w:tcW w:w="1587" w:type="dxa"/>
            <w:vAlign w:val="center"/>
          </w:tcPr>
          <w:p>
            <w:pPr>
              <w:pStyle w:val="15"/>
            </w:pPr>
            <w:r>
              <w:t>50%</w:t>
            </w:r>
          </w:p>
        </w:tc>
        <w:tc>
          <w:tcPr>
            <w:tcW w:w="1304" w:type="dxa"/>
            <w:vAlign w:val="center"/>
          </w:tcPr>
          <w:p>
            <w:pPr>
              <w:pStyle w:val="15"/>
            </w:pPr>
            <w:r>
              <w:t>50%</w:t>
            </w:r>
          </w:p>
        </w:tc>
        <w:tc>
          <w:tcPr>
            <w:tcW w:w="3119"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1.按时全额发放特别抚恤金，提高去世干警家属的生活水平。</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发放特别抚恤金人数</w:t>
            </w:r>
          </w:p>
        </w:tc>
        <w:tc>
          <w:tcPr>
            <w:tcW w:w="2891" w:type="dxa"/>
            <w:vAlign w:val="center"/>
          </w:tcPr>
          <w:p>
            <w:pPr>
              <w:pStyle w:val="13"/>
            </w:pPr>
            <w:r>
              <w:t>发放特别抚恤金人数</w:t>
            </w:r>
          </w:p>
        </w:tc>
        <w:tc>
          <w:tcPr>
            <w:tcW w:w="1276" w:type="dxa"/>
            <w:vAlign w:val="center"/>
          </w:tcPr>
          <w:p>
            <w:pPr>
              <w:pStyle w:val="13"/>
            </w:pPr>
            <w:r>
              <w:t>2人</w:t>
            </w:r>
          </w:p>
        </w:tc>
        <w:tc>
          <w:tcPr>
            <w:tcW w:w="184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抚恤金发放合格率</w:t>
            </w:r>
          </w:p>
        </w:tc>
        <w:tc>
          <w:tcPr>
            <w:tcW w:w="2891" w:type="dxa"/>
            <w:vAlign w:val="center"/>
          </w:tcPr>
          <w:p>
            <w:pPr>
              <w:pStyle w:val="13"/>
            </w:pPr>
            <w:r>
              <w:t>抚恤金发放合格率</w:t>
            </w:r>
          </w:p>
        </w:tc>
        <w:tc>
          <w:tcPr>
            <w:tcW w:w="1276" w:type="dxa"/>
            <w:vAlign w:val="center"/>
          </w:tcPr>
          <w:p>
            <w:pPr>
              <w:pStyle w:val="13"/>
            </w:pPr>
            <w:r>
              <w:t>100%</w:t>
            </w:r>
          </w:p>
        </w:tc>
        <w:tc>
          <w:tcPr>
            <w:tcW w:w="184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抚恤金发放时效</w:t>
            </w:r>
          </w:p>
        </w:tc>
        <w:tc>
          <w:tcPr>
            <w:tcW w:w="2891" w:type="dxa"/>
            <w:vAlign w:val="center"/>
          </w:tcPr>
          <w:p>
            <w:pPr>
              <w:pStyle w:val="13"/>
            </w:pPr>
            <w:r>
              <w:t>抚恤金到位后及时支付给相关人员</w:t>
            </w:r>
          </w:p>
        </w:tc>
        <w:tc>
          <w:tcPr>
            <w:tcW w:w="1276" w:type="dxa"/>
            <w:vAlign w:val="center"/>
          </w:tcPr>
          <w:p>
            <w:pPr>
              <w:pStyle w:val="13"/>
            </w:pPr>
            <w:r>
              <w:t>≤3天</w:t>
            </w:r>
          </w:p>
        </w:tc>
        <w:tc>
          <w:tcPr>
            <w:tcW w:w="184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去世干警人均抚恤金发放金额</w:t>
            </w:r>
          </w:p>
        </w:tc>
        <w:tc>
          <w:tcPr>
            <w:tcW w:w="2891" w:type="dxa"/>
            <w:vAlign w:val="center"/>
          </w:tcPr>
          <w:p>
            <w:pPr>
              <w:pStyle w:val="13"/>
            </w:pPr>
            <w:r>
              <w:t>去世干警人均抚恤金发放金额</w:t>
            </w:r>
          </w:p>
        </w:tc>
        <w:tc>
          <w:tcPr>
            <w:tcW w:w="1276" w:type="dxa"/>
            <w:vAlign w:val="center"/>
          </w:tcPr>
          <w:p>
            <w:pPr>
              <w:pStyle w:val="13"/>
            </w:pPr>
            <w:r>
              <w:t>≤1万</w:t>
            </w:r>
          </w:p>
        </w:tc>
        <w:tc>
          <w:tcPr>
            <w:tcW w:w="184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受补助人群生活水平提高程度</w:t>
            </w:r>
          </w:p>
        </w:tc>
        <w:tc>
          <w:tcPr>
            <w:tcW w:w="2891" w:type="dxa"/>
            <w:vAlign w:val="center"/>
          </w:tcPr>
          <w:p>
            <w:pPr>
              <w:pStyle w:val="13"/>
            </w:pPr>
            <w:r>
              <w:t>受补助人群生活水平提高程度</w:t>
            </w:r>
          </w:p>
        </w:tc>
        <w:tc>
          <w:tcPr>
            <w:tcW w:w="1276" w:type="dxa"/>
            <w:vAlign w:val="center"/>
          </w:tcPr>
          <w:p>
            <w:pPr>
              <w:pStyle w:val="13"/>
            </w:pPr>
            <w:r>
              <w:t>≥90%</w:t>
            </w:r>
          </w:p>
        </w:tc>
        <w:tc>
          <w:tcPr>
            <w:tcW w:w="184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受补助人群满意度</w:t>
            </w:r>
          </w:p>
        </w:tc>
        <w:tc>
          <w:tcPr>
            <w:tcW w:w="2891" w:type="dxa"/>
            <w:vAlign w:val="center"/>
          </w:tcPr>
          <w:p>
            <w:pPr>
              <w:pStyle w:val="13"/>
            </w:pPr>
            <w:r>
              <w:t>受补助人群满意度</w:t>
            </w:r>
          </w:p>
        </w:tc>
        <w:tc>
          <w:tcPr>
            <w:tcW w:w="1276" w:type="dxa"/>
            <w:vAlign w:val="center"/>
          </w:tcPr>
          <w:p>
            <w:pPr>
              <w:pStyle w:val="13"/>
            </w:pPr>
            <w:r>
              <w:t>≥90%</w:t>
            </w:r>
          </w:p>
        </w:tc>
        <w:tc>
          <w:tcPr>
            <w:tcW w:w="1843" w:type="dxa"/>
            <w:vAlign w:val="center"/>
          </w:tcPr>
          <w:p>
            <w:pPr>
              <w:pStyle w:val="13"/>
            </w:pPr>
            <w:r>
              <w:t>年度工作计划</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1" w:name="_Toc_4_4_0000000042"/>
      <w:r>
        <w:rPr>
          <w:rFonts w:ascii="方正仿宋_GBK" w:hAnsi="方正仿宋_GBK" w:eastAsia="方正仿宋_GBK" w:cs="方正仿宋_GBK"/>
          <w:color w:val="000000"/>
          <w:sz w:val="28"/>
        </w:rPr>
        <w:t>39.网络租赁费绩效目标表</w:t>
      </w:r>
      <w:bookmarkEnd w:id="41"/>
    </w:p>
    <w:tbl>
      <w:tblPr>
        <w:tblStyle w:val="5"/>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307003唐山市强制隔离戒毒所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13020026P00XFH6100043</w:t>
            </w:r>
          </w:p>
        </w:tc>
        <w:tc>
          <w:tcPr>
            <w:tcW w:w="1587" w:type="dxa"/>
            <w:vAlign w:val="center"/>
          </w:tcPr>
          <w:p>
            <w:pPr>
              <w:pStyle w:val="14"/>
            </w:pPr>
            <w:r>
              <w:t>项目名称</w:t>
            </w:r>
          </w:p>
        </w:tc>
        <w:tc>
          <w:tcPr>
            <w:tcW w:w="4423" w:type="dxa"/>
            <w:gridSpan w:val="3"/>
            <w:vAlign w:val="center"/>
          </w:tcPr>
          <w:p>
            <w:pPr>
              <w:pStyle w:val="13"/>
            </w:pPr>
            <w:r>
              <w:t>网络租赁费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5.10</w:t>
            </w:r>
          </w:p>
        </w:tc>
        <w:tc>
          <w:tcPr>
            <w:tcW w:w="1587" w:type="dxa"/>
            <w:vAlign w:val="center"/>
          </w:tcPr>
          <w:p>
            <w:pPr>
              <w:pStyle w:val="14"/>
            </w:pPr>
            <w:r>
              <w:t>其中：财政    资金</w:t>
            </w:r>
          </w:p>
        </w:tc>
        <w:tc>
          <w:tcPr>
            <w:tcW w:w="1304" w:type="dxa"/>
            <w:vAlign w:val="center"/>
          </w:tcPr>
          <w:p>
            <w:pPr>
              <w:pStyle w:val="13"/>
            </w:pPr>
            <w:r>
              <w:t>5.10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用于网络线路租赁，保障场所网络安全稳定。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1.保障场所网络安全稳定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网络和线路租赁数量</w:t>
            </w:r>
          </w:p>
        </w:tc>
        <w:tc>
          <w:tcPr>
            <w:tcW w:w="2891" w:type="dxa"/>
            <w:vAlign w:val="center"/>
          </w:tcPr>
          <w:p>
            <w:pPr>
              <w:pStyle w:val="13"/>
            </w:pPr>
            <w:r>
              <w:t>租赁移动、联通、电信三大运营商网络和线路数量</w:t>
            </w:r>
          </w:p>
        </w:tc>
        <w:tc>
          <w:tcPr>
            <w:tcW w:w="1276" w:type="dxa"/>
            <w:vAlign w:val="center"/>
          </w:tcPr>
          <w:p>
            <w:pPr>
              <w:pStyle w:val="13"/>
            </w:pPr>
            <w:r>
              <w:t>≥2套</w:t>
            </w:r>
          </w:p>
        </w:tc>
        <w:tc>
          <w:tcPr>
            <w:tcW w:w="184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全年网络可用率</w:t>
            </w:r>
          </w:p>
        </w:tc>
        <w:tc>
          <w:tcPr>
            <w:tcW w:w="2891" w:type="dxa"/>
            <w:vAlign w:val="center"/>
          </w:tcPr>
          <w:p>
            <w:pPr>
              <w:pStyle w:val="13"/>
            </w:pPr>
            <w:r>
              <w:t>全年网络可用率</w:t>
            </w:r>
          </w:p>
        </w:tc>
        <w:tc>
          <w:tcPr>
            <w:tcW w:w="1276" w:type="dxa"/>
            <w:vAlign w:val="center"/>
          </w:tcPr>
          <w:p>
            <w:pPr>
              <w:pStyle w:val="13"/>
            </w:pPr>
            <w:r>
              <w:t>100%</w:t>
            </w:r>
          </w:p>
        </w:tc>
        <w:tc>
          <w:tcPr>
            <w:tcW w:w="184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光纤网络等维护响应时间</w:t>
            </w:r>
          </w:p>
        </w:tc>
        <w:tc>
          <w:tcPr>
            <w:tcW w:w="2891" w:type="dxa"/>
            <w:vAlign w:val="center"/>
          </w:tcPr>
          <w:p>
            <w:pPr>
              <w:pStyle w:val="13"/>
            </w:pPr>
            <w:r>
              <w:t>光纤网络等维护响应时间</w:t>
            </w:r>
          </w:p>
        </w:tc>
        <w:tc>
          <w:tcPr>
            <w:tcW w:w="1276" w:type="dxa"/>
            <w:vAlign w:val="center"/>
          </w:tcPr>
          <w:p>
            <w:pPr>
              <w:pStyle w:val="13"/>
            </w:pPr>
            <w:r>
              <w:t>≤20分钟</w:t>
            </w:r>
          </w:p>
        </w:tc>
        <w:tc>
          <w:tcPr>
            <w:tcW w:w="184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平均租赁每套网络线路的成本</w:t>
            </w:r>
          </w:p>
        </w:tc>
        <w:tc>
          <w:tcPr>
            <w:tcW w:w="2891" w:type="dxa"/>
            <w:vAlign w:val="center"/>
          </w:tcPr>
          <w:p>
            <w:pPr>
              <w:pStyle w:val="13"/>
            </w:pPr>
            <w:r>
              <w:t>平均租赁每套网络线路的成本</w:t>
            </w:r>
          </w:p>
        </w:tc>
        <w:tc>
          <w:tcPr>
            <w:tcW w:w="1276" w:type="dxa"/>
            <w:vAlign w:val="center"/>
          </w:tcPr>
          <w:p>
            <w:pPr>
              <w:pStyle w:val="13"/>
            </w:pPr>
            <w:r>
              <w:t>≤2.55万元</w:t>
            </w:r>
          </w:p>
        </w:tc>
        <w:tc>
          <w:tcPr>
            <w:tcW w:w="184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信息网络系统安全</w:t>
            </w:r>
          </w:p>
        </w:tc>
        <w:tc>
          <w:tcPr>
            <w:tcW w:w="2891" w:type="dxa"/>
            <w:vAlign w:val="center"/>
          </w:tcPr>
          <w:p>
            <w:pPr>
              <w:pStyle w:val="13"/>
            </w:pPr>
            <w:r>
              <w:t>信息网络系统安全</w:t>
            </w:r>
          </w:p>
        </w:tc>
        <w:tc>
          <w:tcPr>
            <w:tcW w:w="1276" w:type="dxa"/>
            <w:vAlign w:val="center"/>
          </w:tcPr>
          <w:p>
            <w:pPr>
              <w:pStyle w:val="13"/>
            </w:pPr>
            <w:r>
              <w:t>100%</w:t>
            </w:r>
          </w:p>
        </w:tc>
        <w:tc>
          <w:tcPr>
            <w:tcW w:w="184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干警对租赁网络的满意度</w:t>
            </w:r>
          </w:p>
        </w:tc>
        <w:tc>
          <w:tcPr>
            <w:tcW w:w="2891" w:type="dxa"/>
            <w:vAlign w:val="center"/>
          </w:tcPr>
          <w:p>
            <w:pPr>
              <w:pStyle w:val="13"/>
            </w:pPr>
            <w:r>
              <w:t>干警对租赁网络的满意度</w:t>
            </w:r>
          </w:p>
        </w:tc>
        <w:tc>
          <w:tcPr>
            <w:tcW w:w="1276" w:type="dxa"/>
            <w:vAlign w:val="center"/>
          </w:tcPr>
          <w:p>
            <w:pPr>
              <w:pStyle w:val="13"/>
            </w:pPr>
            <w:r>
              <w:t>≥90%</w:t>
            </w:r>
          </w:p>
        </w:tc>
        <w:tc>
          <w:tcPr>
            <w:tcW w:w="1843" w:type="dxa"/>
            <w:vAlign w:val="center"/>
          </w:tcPr>
          <w:p>
            <w:pPr>
              <w:pStyle w:val="13"/>
            </w:pPr>
            <w:r>
              <w:t>年度工作计划</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2" w:name="_Toc_4_4_0000000043"/>
      <w:r>
        <w:rPr>
          <w:rFonts w:ascii="方正仿宋_GBK" w:hAnsi="方正仿宋_GBK" w:eastAsia="方正仿宋_GBK" w:cs="方正仿宋_GBK"/>
          <w:color w:val="000000"/>
          <w:sz w:val="28"/>
        </w:rPr>
        <w:t>40.强制隔离戒毒所提升改造项目绩效目标表</w:t>
      </w:r>
      <w:bookmarkEnd w:id="42"/>
    </w:p>
    <w:tbl>
      <w:tblPr>
        <w:tblStyle w:val="5"/>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307003唐山市强制隔离戒毒所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13020026P000138100017</w:t>
            </w:r>
          </w:p>
        </w:tc>
        <w:tc>
          <w:tcPr>
            <w:tcW w:w="1587" w:type="dxa"/>
            <w:vAlign w:val="center"/>
          </w:tcPr>
          <w:p>
            <w:pPr>
              <w:pStyle w:val="14"/>
            </w:pPr>
            <w:r>
              <w:t>项目名称</w:t>
            </w:r>
          </w:p>
        </w:tc>
        <w:tc>
          <w:tcPr>
            <w:tcW w:w="4423" w:type="dxa"/>
            <w:gridSpan w:val="3"/>
            <w:vAlign w:val="center"/>
          </w:tcPr>
          <w:p>
            <w:pPr>
              <w:pStyle w:val="13"/>
            </w:pPr>
            <w:r>
              <w:t>强制隔离戒毒所提升改造项目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400.00</w:t>
            </w:r>
          </w:p>
        </w:tc>
        <w:tc>
          <w:tcPr>
            <w:tcW w:w="1587" w:type="dxa"/>
            <w:vAlign w:val="center"/>
          </w:tcPr>
          <w:p>
            <w:pPr>
              <w:pStyle w:val="14"/>
            </w:pPr>
            <w:r>
              <w:t>其中：财政    资金</w:t>
            </w:r>
          </w:p>
        </w:tc>
        <w:tc>
          <w:tcPr>
            <w:tcW w:w="1304" w:type="dxa"/>
            <w:vAlign w:val="center"/>
          </w:tcPr>
          <w:p>
            <w:pPr>
              <w:pStyle w:val="13"/>
            </w:pPr>
            <w:r>
              <w:t>400.00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对现有场所设施进行提升改造，包括大门及警卫室拆除重建；办公楼铲除外墙砖、做外墙保温及真石漆、更换窗户；二门内路面改造；拆除犬舍及新增绿地；学员食堂及多功能厅外立面抹灰、粉刷真石漆、堵部门窗户、更换外门窗及金属防护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1.对现有场所设施进行提升改造，全面满足教育矫治功能需要，为学生创造良好的教育矫治环境。</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改造、修缮工程数量</w:t>
            </w:r>
          </w:p>
        </w:tc>
        <w:tc>
          <w:tcPr>
            <w:tcW w:w="2891" w:type="dxa"/>
            <w:vAlign w:val="center"/>
          </w:tcPr>
          <w:p>
            <w:pPr>
              <w:pStyle w:val="13"/>
            </w:pPr>
            <w:r>
              <w:t>反映改造、修缮工程数量情况。</w:t>
            </w:r>
          </w:p>
        </w:tc>
        <w:tc>
          <w:tcPr>
            <w:tcW w:w="1276" w:type="dxa"/>
            <w:vAlign w:val="center"/>
          </w:tcPr>
          <w:p>
            <w:pPr>
              <w:pStyle w:val="13"/>
            </w:pPr>
            <w:r>
              <w:t>≥6个</w:t>
            </w:r>
          </w:p>
        </w:tc>
        <w:tc>
          <w:tcPr>
            <w:tcW w:w="184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改造、修缮工程竣工验收合格率</w:t>
            </w:r>
          </w:p>
        </w:tc>
        <w:tc>
          <w:tcPr>
            <w:tcW w:w="2891" w:type="dxa"/>
            <w:vAlign w:val="center"/>
          </w:tcPr>
          <w:p>
            <w:pPr>
              <w:pStyle w:val="13"/>
            </w:pPr>
            <w:r>
              <w:t>反映竣工验收情况。</w:t>
            </w:r>
          </w:p>
        </w:tc>
        <w:tc>
          <w:tcPr>
            <w:tcW w:w="1276" w:type="dxa"/>
            <w:vAlign w:val="center"/>
          </w:tcPr>
          <w:p>
            <w:pPr>
              <w:pStyle w:val="13"/>
            </w:pPr>
            <w:r>
              <w:t>100%</w:t>
            </w:r>
          </w:p>
        </w:tc>
        <w:tc>
          <w:tcPr>
            <w:tcW w:w="184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项目按计划完工率</w:t>
            </w:r>
          </w:p>
        </w:tc>
        <w:tc>
          <w:tcPr>
            <w:tcW w:w="2891" w:type="dxa"/>
            <w:vAlign w:val="center"/>
          </w:tcPr>
          <w:p>
            <w:pPr>
              <w:pStyle w:val="13"/>
            </w:pPr>
            <w:r>
              <w:t>反映工程按计划完工情况。</w:t>
            </w:r>
          </w:p>
        </w:tc>
        <w:tc>
          <w:tcPr>
            <w:tcW w:w="1276" w:type="dxa"/>
            <w:vAlign w:val="center"/>
          </w:tcPr>
          <w:p>
            <w:pPr>
              <w:pStyle w:val="13"/>
            </w:pPr>
            <w:r>
              <w:t>≥90%</w:t>
            </w:r>
          </w:p>
        </w:tc>
        <w:tc>
          <w:tcPr>
            <w:tcW w:w="184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工程修缮单位面积成本</w:t>
            </w:r>
          </w:p>
        </w:tc>
        <w:tc>
          <w:tcPr>
            <w:tcW w:w="2891" w:type="dxa"/>
            <w:vAlign w:val="center"/>
          </w:tcPr>
          <w:p>
            <w:pPr>
              <w:pStyle w:val="13"/>
            </w:pPr>
            <w:r>
              <w:t>反映修缮工程平均每平方米支出情况。</w:t>
            </w:r>
          </w:p>
        </w:tc>
        <w:tc>
          <w:tcPr>
            <w:tcW w:w="1276" w:type="dxa"/>
            <w:vAlign w:val="center"/>
          </w:tcPr>
          <w:p>
            <w:pPr>
              <w:pStyle w:val="13"/>
            </w:pPr>
            <w:r>
              <w:t>≤275元</w:t>
            </w:r>
          </w:p>
        </w:tc>
        <w:tc>
          <w:tcPr>
            <w:tcW w:w="184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改造、修缮工程设施正常运转率</w:t>
            </w:r>
          </w:p>
        </w:tc>
        <w:tc>
          <w:tcPr>
            <w:tcW w:w="2891" w:type="dxa"/>
            <w:vAlign w:val="center"/>
          </w:tcPr>
          <w:p>
            <w:pPr>
              <w:pStyle w:val="13"/>
            </w:pPr>
            <w:r>
              <w:t>反映改造、修缮工程设施功能运转情况。</w:t>
            </w:r>
          </w:p>
        </w:tc>
        <w:tc>
          <w:tcPr>
            <w:tcW w:w="1276" w:type="dxa"/>
            <w:vAlign w:val="center"/>
          </w:tcPr>
          <w:p>
            <w:pPr>
              <w:pStyle w:val="13"/>
            </w:pPr>
            <w:r>
              <w:t>100%</w:t>
            </w:r>
          </w:p>
        </w:tc>
        <w:tc>
          <w:tcPr>
            <w:tcW w:w="1843"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干警满意度</w:t>
            </w:r>
          </w:p>
        </w:tc>
        <w:tc>
          <w:tcPr>
            <w:tcW w:w="2891" w:type="dxa"/>
            <w:vAlign w:val="center"/>
          </w:tcPr>
          <w:p>
            <w:pPr>
              <w:pStyle w:val="13"/>
            </w:pPr>
            <w:r>
              <w:t>干警满意度</w:t>
            </w:r>
          </w:p>
        </w:tc>
        <w:tc>
          <w:tcPr>
            <w:tcW w:w="1276" w:type="dxa"/>
            <w:vAlign w:val="center"/>
          </w:tcPr>
          <w:p>
            <w:pPr>
              <w:pStyle w:val="13"/>
            </w:pPr>
            <w:r>
              <w:t>≥90%</w:t>
            </w:r>
          </w:p>
        </w:tc>
        <w:tc>
          <w:tcPr>
            <w:tcW w:w="1843" w:type="dxa"/>
            <w:vAlign w:val="center"/>
          </w:tcPr>
          <w:p>
            <w:pPr>
              <w:pStyle w:val="13"/>
            </w:pPr>
            <w:r>
              <w:t>年度工作计划</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3" w:name="_Toc_4_4_0000000044"/>
      <w:r>
        <w:rPr>
          <w:rFonts w:ascii="方正仿宋_GBK" w:hAnsi="方正仿宋_GBK" w:eastAsia="方正仿宋_GBK" w:cs="方正仿宋_GBK"/>
          <w:color w:val="000000"/>
          <w:sz w:val="28"/>
        </w:rPr>
        <w:t>41.公用经费绩效目标表</w:t>
      </w:r>
      <w:bookmarkEnd w:id="43"/>
    </w:p>
    <w:tbl>
      <w:tblPr>
        <w:tblStyle w:val="5"/>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307007唐山市启明学校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13020026P006841153855</w:t>
            </w:r>
          </w:p>
        </w:tc>
        <w:tc>
          <w:tcPr>
            <w:tcW w:w="1587" w:type="dxa"/>
            <w:vAlign w:val="center"/>
          </w:tcPr>
          <w:p>
            <w:pPr>
              <w:pStyle w:val="14"/>
            </w:pPr>
            <w:r>
              <w:t>项目名称</w:t>
            </w:r>
          </w:p>
        </w:tc>
        <w:tc>
          <w:tcPr>
            <w:tcW w:w="4423" w:type="dxa"/>
            <w:gridSpan w:val="3"/>
            <w:vAlign w:val="center"/>
          </w:tcPr>
          <w:p>
            <w:pPr>
              <w:pStyle w:val="13"/>
            </w:pPr>
            <w:r>
              <w:t>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35.00</w:t>
            </w:r>
          </w:p>
        </w:tc>
        <w:tc>
          <w:tcPr>
            <w:tcW w:w="1587" w:type="dxa"/>
            <w:vAlign w:val="center"/>
          </w:tcPr>
          <w:p>
            <w:pPr>
              <w:pStyle w:val="14"/>
            </w:pPr>
            <w:r>
              <w:t>其中：财政    资金</w:t>
            </w:r>
          </w:p>
        </w:tc>
        <w:tc>
          <w:tcPr>
            <w:tcW w:w="1304" w:type="dxa"/>
            <w:vAlign w:val="center"/>
          </w:tcPr>
          <w:p>
            <w:pPr>
              <w:pStyle w:val="13"/>
            </w:pPr>
            <w:r>
              <w:t>35.00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资金用于全年学校印刷品费用和设施、设备、办公及专用设备的维修（护）费用的支出，以保障学校正常运行。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1.用于学校设施设备维护、教学资料印刷保障工作场所正常运转，教学矫治工作的正常开展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维修涉及面积</w:t>
            </w:r>
          </w:p>
        </w:tc>
        <w:tc>
          <w:tcPr>
            <w:tcW w:w="2891" w:type="dxa"/>
            <w:vAlign w:val="center"/>
          </w:tcPr>
          <w:p>
            <w:pPr>
              <w:pStyle w:val="13"/>
            </w:pPr>
            <w:r>
              <w:t>场所内维修维护面积</w:t>
            </w:r>
          </w:p>
        </w:tc>
        <w:tc>
          <w:tcPr>
            <w:tcW w:w="1276" w:type="dxa"/>
            <w:vAlign w:val="center"/>
          </w:tcPr>
          <w:p>
            <w:pPr>
              <w:pStyle w:val="13"/>
            </w:pPr>
            <w:r>
              <w:t>≥3000平方米</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维修合格率(%)</w:t>
            </w:r>
          </w:p>
        </w:tc>
        <w:tc>
          <w:tcPr>
            <w:tcW w:w="2891" w:type="dxa"/>
            <w:vAlign w:val="center"/>
          </w:tcPr>
          <w:p>
            <w:pPr>
              <w:pStyle w:val="13"/>
            </w:pPr>
            <w:r>
              <w:t>维修合格率(%)</w:t>
            </w:r>
          </w:p>
        </w:tc>
        <w:tc>
          <w:tcPr>
            <w:tcW w:w="1276" w:type="dxa"/>
            <w:vAlign w:val="center"/>
          </w:tcPr>
          <w:p>
            <w:pPr>
              <w:pStyle w:val="13"/>
            </w:pPr>
            <w:r>
              <w:t>100%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设备维修及时率</w:t>
            </w:r>
          </w:p>
        </w:tc>
        <w:tc>
          <w:tcPr>
            <w:tcW w:w="2891" w:type="dxa"/>
            <w:vAlign w:val="center"/>
          </w:tcPr>
          <w:p>
            <w:pPr>
              <w:pStyle w:val="13"/>
            </w:pPr>
            <w:r>
              <w:t>设备维修及时率</w:t>
            </w:r>
          </w:p>
        </w:tc>
        <w:tc>
          <w:tcPr>
            <w:tcW w:w="1276" w:type="dxa"/>
            <w:vAlign w:val="center"/>
          </w:tcPr>
          <w:p>
            <w:pPr>
              <w:pStyle w:val="13"/>
            </w:pPr>
            <w:r>
              <w:t>≥90%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全年维修维护分项平均成本</w:t>
            </w:r>
          </w:p>
        </w:tc>
        <w:tc>
          <w:tcPr>
            <w:tcW w:w="2891" w:type="dxa"/>
            <w:vAlign w:val="center"/>
          </w:tcPr>
          <w:p>
            <w:pPr>
              <w:pStyle w:val="13"/>
            </w:pPr>
            <w:r>
              <w:t>全年维修维护分项平均成本</w:t>
            </w:r>
          </w:p>
        </w:tc>
        <w:tc>
          <w:tcPr>
            <w:tcW w:w="1276" w:type="dxa"/>
            <w:vAlign w:val="center"/>
          </w:tcPr>
          <w:p>
            <w:pPr>
              <w:pStyle w:val="13"/>
            </w:pPr>
            <w:r>
              <w:t>≤5万元</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教学活动支持率</w:t>
            </w:r>
          </w:p>
        </w:tc>
        <w:tc>
          <w:tcPr>
            <w:tcW w:w="2891" w:type="dxa"/>
            <w:vAlign w:val="center"/>
          </w:tcPr>
          <w:p>
            <w:pPr>
              <w:pStyle w:val="13"/>
            </w:pPr>
            <w:r>
              <w:t>保障教育教学设施正常运行支持率</w:t>
            </w:r>
          </w:p>
        </w:tc>
        <w:tc>
          <w:tcPr>
            <w:tcW w:w="1276" w:type="dxa"/>
            <w:vAlign w:val="center"/>
          </w:tcPr>
          <w:p>
            <w:pPr>
              <w:pStyle w:val="13"/>
            </w:pPr>
            <w:r>
              <w:t>≥90%</w:t>
            </w:r>
          </w:p>
        </w:tc>
        <w:tc>
          <w:tcPr>
            <w:tcW w:w="1843" w:type="dxa"/>
            <w:vAlign w:val="center"/>
          </w:tcPr>
          <w:p>
            <w:pPr>
              <w:pStyle w:val="13"/>
            </w:pPr>
            <w:r>
              <w:t>工作计划</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4" w:name="_Toc_4_4_0000000045"/>
      <w:r>
        <w:rPr>
          <w:rFonts w:ascii="方正仿宋_GBK" w:hAnsi="方正仿宋_GBK" w:eastAsia="方正仿宋_GBK" w:cs="方正仿宋_GBK"/>
          <w:color w:val="000000"/>
          <w:sz w:val="28"/>
        </w:rPr>
        <w:t>42.后勤保障经费绩效目标表</w:t>
      </w:r>
      <w:bookmarkEnd w:id="44"/>
    </w:p>
    <w:tbl>
      <w:tblPr>
        <w:tblStyle w:val="5"/>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307007唐山市启明学校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13020026P00684115381N</w:t>
            </w:r>
          </w:p>
        </w:tc>
        <w:tc>
          <w:tcPr>
            <w:tcW w:w="1587" w:type="dxa"/>
            <w:vAlign w:val="center"/>
          </w:tcPr>
          <w:p>
            <w:pPr>
              <w:pStyle w:val="14"/>
            </w:pPr>
            <w:r>
              <w:t>项目名称</w:t>
            </w:r>
          </w:p>
        </w:tc>
        <w:tc>
          <w:tcPr>
            <w:tcW w:w="4423" w:type="dxa"/>
            <w:gridSpan w:val="3"/>
            <w:vAlign w:val="center"/>
          </w:tcPr>
          <w:p>
            <w:pPr>
              <w:pStyle w:val="13"/>
            </w:pPr>
            <w:r>
              <w:t>后勤保障经费</w:t>
            </w:r>
          </w:p>
        </w:tc>
      </w:tr>
      <w:tr>
        <w:tblPrEx>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41.40</w:t>
            </w:r>
          </w:p>
        </w:tc>
        <w:tc>
          <w:tcPr>
            <w:tcW w:w="1587" w:type="dxa"/>
            <w:vAlign w:val="center"/>
          </w:tcPr>
          <w:p>
            <w:pPr>
              <w:pStyle w:val="14"/>
            </w:pPr>
            <w:r>
              <w:t>其中：财政    资金</w:t>
            </w:r>
          </w:p>
        </w:tc>
        <w:tc>
          <w:tcPr>
            <w:tcW w:w="1304" w:type="dxa"/>
            <w:vAlign w:val="center"/>
          </w:tcPr>
          <w:p>
            <w:pPr>
              <w:pStyle w:val="13"/>
            </w:pPr>
            <w:r>
              <w:t>41.40</w:t>
            </w:r>
          </w:p>
        </w:tc>
        <w:tc>
          <w:tcPr>
            <w:tcW w:w="1276" w:type="dxa"/>
            <w:vAlign w:val="center"/>
          </w:tcPr>
          <w:p>
            <w:pPr>
              <w:pStyle w:val="14"/>
            </w:pPr>
            <w:r>
              <w:t>其他资金</w:t>
            </w:r>
          </w:p>
        </w:tc>
        <w:tc>
          <w:tcPr>
            <w:tcW w:w="1843" w:type="dxa"/>
            <w:vAlign w:val="center"/>
          </w:tcPr>
          <w:p>
            <w:pPr>
              <w:pStyle w:val="13"/>
            </w:pPr>
            <w:r>
              <w:t xml:space="preserve"> </w:t>
            </w:r>
          </w:p>
        </w:tc>
      </w:tr>
      <w:tr>
        <w:tblPrEx>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资金用于支付我校临聘厨师、后勤人员、医务人员工资。</w:t>
            </w:r>
          </w:p>
        </w:tc>
      </w:tr>
      <w:tr>
        <w:tblPrEx>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1.2026年，按时、足额发放后勤保障人员工资，保障食堂和场所正常运转，提高后勤保障人员工作积极性和服务质量。</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时效指标</w:t>
            </w:r>
          </w:p>
        </w:tc>
        <w:tc>
          <w:tcPr>
            <w:tcW w:w="1332" w:type="dxa"/>
            <w:vAlign w:val="center"/>
          </w:tcPr>
          <w:p>
            <w:pPr>
              <w:pStyle w:val="13"/>
            </w:pPr>
            <w:r>
              <w:t>后勤保障人员工资支付完成时间</w:t>
            </w:r>
          </w:p>
        </w:tc>
        <w:tc>
          <w:tcPr>
            <w:tcW w:w="2891" w:type="dxa"/>
            <w:vAlign w:val="center"/>
          </w:tcPr>
          <w:p>
            <w:pPr>
              <w:pStyle w:val="13"/>
            </w:pPr>
            <w:r>
              <w:t>后勤保障人员全年工资支付完成时间</w:t>
            </w:r>
          </w:p>
        </w:tc>
        <w:tc>
          <w:tcPr>
            <w:tcW w:w="1276" w:type="dxa"/>
            <w:vAlign w:val="center"/>
          </w:tcPr>
          <w:p>
            <w:pPr>
              <w:pStyle w:val="13"/>
            </w:pPr>
            <w:r>
              <w:t>≤1年</w:t>
            </w:r>
          </w:p>
        </w:tc>
        <w:tc>
          <w:tcPr>
            <w:tcW w:w="1843" w:type="dxa"/>
            <w:vAlign w:val="center"/>
          </w:tcPr>
          <w:p>
            <w:pPr>
              <w:pStyle w:val="13"/>
            </w:pPr>
            <w:r>
              <w:t>河北省教育厅等13单位关于印发《河北省专门学校建设和专门教育有关规定（试行）》的通知冀教德育【2025】12号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后勤保障人员人均工资成本</w:t>
            </w:r>
          </w:p>
        </w:tc>
        <w:tc>
          <w:tcPr>
            <w:tcW w:w="2891" w:type="dxa"/>
            <w:vAlign w:val="center"/>
          </w:tcPr>
          <w:p>
            <w:pPr>
              <w:pStyle w:val="13"/>
            </w:pPr>
            <w:r>
              <w:t>全年后勤保障人员人均工资成本</w:t>
            </w:r>
          </w:p>
        </w:tc>
        <w:tc>
          <w:tcPr>
            <w:tcW w:w="1276" w:type="dxa"/>
            <w:vAlign w:val="center"/>
          </w:tcPr>
          <w:p>
            <w:pPr>
              <w:pStyle w:val="13"/>
            </w:pPr>
            <w:r>
              <w:t>≤4.6万元</w:t>
            </w:r>
          </w:p>
        </w:tc>
        <w:tc>
          <w:tcPr>
            <w:tcW w:w="1843" w:type="dxa"/>
            <w:vAlign w:val="center"/>
          </w:tcPr>
          <w:p>
            <w:pPr>
              <w:pStyle w:val="13"/>
            </w:pPr>
            <w:r>
              <w:t>河北省教育厅等13单位关于印发《河北省专门学校建设和专门教育有关规定（试行）》的通知冀教德育【2025】12号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后勤保障人员人数</w:t>
            </w:r>
          </w:p>
        </w:tc>
        <w:tc>
          <w:tcPr>
            <w:tcW w:w="2891" w:type="dxa"/>
            <w:vAlign w:val="center"/>
          </w:tcPr>
          <w:p>
            <w:pPr>
              <w:pStyle w:val="13"/>
            </w:pPr>
            <w:r>
              <w:t>后勤保障人员人数</w:t>
            </w:r>
          </w:p>
        </w:tc>
        <w:tc>
          <w:tcPr>
            <w:tcW w:w="1276" w:type="dxa"/>
            <w:vAlign w:val="center"/>
          </w:tcPr>
          <w:p>
            <w:pPr>
              <w:pStyle w:val="13"/>
            </w:pPr>
            <w:r>
              <w:t>≥9人</w:t>
            </w:r>
          </w:p>
        </w:tc>
        <w:tc>
          <w:tcPr>
            <w:tcW w:w="1843" w:type="dxa"/>
            <w:vAlign w:val="center"/>
          </w:tcPr>
          <w:p>
            <w:pPr>
              <w:pStyle w:val="13"/>
            </w:pPr>
            <w:r>
              <w:t>河北省教育厅等13单位关于印发《河北省专门学校建设和专门教育有关规定（试行）》的通知冀教德育【2025】12号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后勤服务保障率。</w:t>
            </w:r>
          </w:p>
        </w:tc>
        <w:tc>
          <w:tcPr>
            <w:tcW w:w="2891" w:type="dxa"/>
            <w:vAlign w:val="center"/>
          </w:tcPr>
          <w:p>
            <w:pPr>
              <w:pStyle w:val="13"/>
            </w:pPr>
            <w:r>
              <w:t>后勤服务保障率。</w:t>
            </w:r>
          </w:p>
        </w:tc>
        <w:tc>
          <w:tcPr>
            <w:tcW w:w="1276" w:type="dxa"/>
            <w:vAlign w:val="center"/>
          </w:tcPr>
          <w:p>
            <w:pPr>
              <w:pStyle w:val="13"/>
            </w:pPr>
            <w:r>
              <w:t>100%</w:t>
            </w:r>
          </w:p>
        </w:tc>
        <w:tc>
          <w:tcPr>
            <w:tcW w:w="1843" w:type="dxa"/>
            <w:vAlign w:val="center"/>
          </w:tcPr>
          <w:p>
            <w:pPr>
              <w:pStyle w:val="13"/>
            </w:pPr>
            <w:r>
              <w:t>河北省教育厅等13单位关于印发《河北省专门学校建设和专门教育有关规定（试行）》的通知冀教德育【2025】12号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保障食堂出餐率、患病学生就医率</w:t>
            </w:r>
          </w:p>
        </w:tc>
        <w:tc>
          <w:tcPr>
            <w:tcW w:w="2891" w:type="dxa"/>
            <w:vAlign w:val="center"/>
          </w:tcPr>
          <w:p>
            <w:pPr>
              <w:pStyle w:val="13"/>
            </w:pPr>
            <w:r>
              <w:t>保障食堂出餐率、患病学生就医率。</w:t>
            </w:r>
          </w:p>
        </w:tc>
        <w:tc>
          <w:tcPr>
            <w:tcW w:w="1276" w:type="dxa"/>
            <w:vAlign w:val="center"/>
          </w:tcPr>
          <w:p>
            <w:pPr>
              <w:pStyle w:val="13"/>
            </w:pPr>
            <w:r>
              <w:t>100%</w:t>
            </w:r>
          </w:p>
        </w:tc>
        <w:tc>
          <w:tcPr>
            <w:tcW w:w="1843" w:type="dxa"/>
            <w:vAlign w:val="center"/>
          </w:tcPr>
          <w:p>
            <w:pPr>
              <w:pStyle w:val="13"/>
            </w:pPr>
            <w:r>
              <w:t>河北省教育厅等13单位关于印发《河北省专门学校建设和专门教育有关规定（试行）》的通知冀教德育【2025】12号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后勤保障人员受益人满意度</w:t>
            </w:r>
          </w:p>
        </w:tc>
        <w:tc>
          <w:tcPr>
            <w:tcW w:w="2891" w:type="dxa"/>
            <w:vAlign w:val="center"/>
          </w:tcPr>
          <w:p>
            <w:pPr>
              <w:pStyle w:val="13"/>
            </w:pPr>
            <w:r>
              <w:t>后勤保障人员对工资发放的及时率满意度</w:t>
            </w:r>
          </w:p>
        </w:tc>
        <w:tc>
          <w:tcPr>
            <w:tcW w:w="1276" w:type="dxa"/>
            <w:vAlign w:val="center"/>
          </w:tcPr>
          <w:p>
            <w:pPr>
              <w:pStyle w:val="13"/>
            </w:pPr>
            <w:r>
              <w:t>100%</w:t>
            </w:r>
          </w:p>
        </w:tc>
        <w:tc>
          <w:tcPr>
            <w:tcW w:w="1843" w:type="dxa"/>
            <w:vAlign w:val="center"/>
          </w:tcPr>
          <w:p>
            <w:pPr>
              <w:pStyle w:val="13"/>
            </w:pPr>
            <w:r>
              <w:t>河北省教育厅等13单位关于印发《河北省专门学校建设和专门教育有关规定（试行）》的通知冀教德育【2025】12号</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5" w:name="_Toc_4_4_0000000046"/>
      <w:r>
        <w:rPr>
          <w:rFonts w:ascii="方正仿宋_GBK" w:hAnsi="方正仿宋_GBK" w:eastAsia="方正仿宋_GBK" w:cs="方正仿宋_GBK"/>
          <w:color w:val="000000"/>
          <w:sz w:val="28"/>
        </w:rPr>
        <w:t>43.学生经费绩效目标表</w:t>
      </w:r>
      <w:bookmarkEnd w:id="45"/>
    </w:p>
    <w:tbl>
      <w:tblPr>
        <w:tblStyle w:val="5"/>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307007唐山市启明学校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13020026P00684115382A</w:t>
            </w:r>
          </w:p>
        </w:tc>
        <w:tc>
          <w:tcPr>
            <w:tcW w:w="1587" w:type="dxa"/>
            <w:vAlign w:val="center"/>
          </w:tcPr>
          <w:p>
            <w:pPr>
              <w:pStyle w:val="14"/>
            </w:pPr>
            <w:r>
              <w:t>项目名称</w:t>
            </w:r>
          </w:p>
        </w:tc>
        <w:tc>
          <w:tcPr>
            <w:tcW w:w="4423" w:type="dxa"/>
            <w:gridSpan w:val="3"/>
            <w:vAlign w:val="center"/>
          </w:tcPr>
          <w:p>
            <w:pPr>
              <w:pStyle w:val="13"/>
            </w:pPr>
            <w:r>
              <w:t>学生经费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172.30</w:t>
            </w:r>
          </w:p>
        </w:tc>
        <w:tc>
          <w:tcPr>
            <w:tcW w:w="1587" w:type="dxa"/>
            <w:vAlign w:val="center"/>
          </w:tcPr>
          <w:p>
            <w:pPr>
              <w:pStyle w:val="14"/>
            </w:pPr>
            <w:r>
              <w:t>其中：财政    资金</w:t>
            </w:r>
          </w:p>
        </w:tc>
        <w:tc>
          <w:tcPr>
            <w:tcW w:w="1304" w:type="dxa"/>
            <w:vAlign w:val="center"/>
          </w:tcPr>
          <w:p>
            <w:pPr>
              <w:pStyle w:val="13"/>
            </w:pPr>
            <w:r>
              <w:t>172.30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资金用于保障学生在校期间伙食费、卫生医疗等生活经费的支出。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1.保障全体在校学生基本生活需求，促进学业发展，保障未成年人受教育权益及专门矫治教育的正常开展。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收治学生人数</w:t>
            </w:r>
          </w:p>
        </w:tc>
        <w:tc>
          <w:tcPr>
            <w:tcW w:w="2891" w:type="dxa"/>
            <w:vAlign w:val="center"/>
          </w:tcPr>
          <w:p>
            <w:pPr>
              <w:pStyle w:val="13"/>
            </w:pPr>
            <w:r>
              <w:t>全年收治各类满足送教条件学生人数</w:t>
            </w:r>
          </w:p>
        </w:tc>
        <w:tc>
          <w:tcPr>
            <w:tcW w:w="1276" w:type="dxa"/>
            <w:vAlign w:val="center"/>
          </w:tcPr>
          <w:p>
            <w:pPr>
              <w:pStyle w:val="13"/>
            </w:pPr>
            <w:r>
              <w:t>≥200人</w:t>
            </w:r>
          </w:p>
        </w:tc>
        <w:tc>
          <w:tcPr>
            <w:tcW w:w="1843" w:type="dxa"/>
            <w:vAlign w:val="center"/>
          </w:tcPr>
          <w:p>
            <w:pPr>
              <w:pStyle w:val="13"/>
            </w:pPr>
            <w:r>
              <w:t>河北省教育厅等十三单位关于印发《河北省专门学校建设和专门教育有关规定（试行）》的通知 冀教德育【2025】12号，唐山市专门教育指导委员会会议纪要 唐专教指委纪要【2025】2号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义务教育巩固率（%）</w:t>
            </w:r>
          </w:p>
        </w:tc>
        <w:tc>
          <w:tcPr>
            <w:tcW w:w="2891" w:type="dxa"/>
            <w:vAlign w:val="center"/>
          </w:tcPr>
          <w:p>
            <w:pPr>
              <w:pStyle w:val="13"/>
            </w:pPr>
            <w:r>
              <w:t>义务教育巩固率（%）</w:t>
            </w:r>
          </w:p>
        </w:tc>
        <w:tc>
          <w:tcPr>
            <w:tcW w:w="1276" w:type="dxa"/>
            <w:vAlign w:val="center"/>
          </w:tcPr>
          <w:p>
            <w:pPr>
              <w:pStyle w:val="13"/>
            </w:pPr>
            <w:r>
              <w:t>100%</w:t>
            </w:r>
          </w:p>
        </w:tc>
        <w:tc>
          <w:tcPr>
            <w:tcW w:w="1843" w:type="dxa"/>
            <w:vAlign w:val="center"/>
          </w:tcPr>
          <w:p>
            <w:pPr>
              <w:pStyle w:val="13"/>
            </w:pPr>
            <w:r>
              <w:t>河北省教育厅等十三单位关于印发《河北省专门学校建设和专门教育有关规定（试行）》的通知 冀教德育【2025】12号，唐山市专门教育指导委员会会议纪要 唐专教指委纪要【2025】2号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各项任务完成及时率（%）</w:t>
            </w:r>
          </w:p>
        </w:tc>
        <w:tc>
          <w:tcPr>
            <w:tcW w:w="2891" w:type="dxa"/>
            <w:vAlign w:val="center"/>
          </w:tcPr>
          <w:p>
            <w:pPr>
              <w:pStyle w:val="13"/>
            </w:pPr>
            <w:r>
              <w:t>各项任务完成及时率（%）</w:t>
            </w:r>
          </w:p>
        </w:tc>
        <w:tc>
          <w:tcPr>
            <w:tcW w:w="1276" w:type="dxa"/>
            <w:vAlign w:val="center"/>
          </w:tcPr>
          <w:p>
            <w:pPr>
              <w:pStyle w:val="13"/>
            </w:pPr>
            <w:r>
              <w:t>100%</w:t>
            </w:r>
          </w:p>
        </w:tc>
        <w:tc>
          <w:tcPr>
            <w:tcW w:w="1843" w:type="dxa"/>
            <w:vAlign w:val="center"/>
          </w:tcPr>
          <w:p>
            <w:pPr>
              <w:pStyle w:val="13"/>
            </w:pPr>
            <w:r>
              <w:t>河北省教育厅等十三单位关于印发《河北省专门学校建设和专门教育有关规定（试行）》的通知 冀教德育【2025】12号，唐山市专门教育指导委员会会议纪要 唐专教指委纪要【2025】2号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全年学生经费人均成本</w:t>
            </w:r>
          </w:p>
        </w:tc>
        <w:tc>
          <w:tcPr>
            <w:tcW w:w="2891" w:type="dxa"/>
            <w:vAlign w:val="center"/>
          </w:tcPr>
          <w:p>
            <w:pPr>
              <w:pStyle w:val="13"/>
            </w:pPr>
            <w:r>
              <w:t>全年学生经费人均成本</w:t>
            </w:r>
          </w:p>
        </w:tc>
        <w:tc>
          <w:tcPr>
            <w:tcW w:w="1276" w:type="dxa"/>
            <w:vAlign w:val="center"/>
          </w:tcPr>
          <w:p>
            <w:pPr>
              <w:pStyle w:val="13"/>
            </w:pPr>
            <w:r>
              <w:t>≤0.86万元</w:t>
            </w:r>
          </w:p>
        </w:tc>
        <w:tc>
          <w:tcPr>
            <w:tcW w:w="1843" w:type="dxa"/>
            <w:vAlign w:val="center"/>
          </w:tcPr>
          <w:p>
            <w:pPr>
              <w:pStyle w:val="13"/>
            </w:pPr>
            <w:r>
              <w:t>河北省教育厅等十三单位关于印发《河北省专门学校建设和专门教育有关规定（试行）》的通知 冀教德育【2025】12号，唐山市专门教育指导委员会会议纪要 唐专教指委纪要【2025】2号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收治率</w:t>
            </w:r>
          </w:p>
        </w:tc>
        <w:tc>
          <w:tcPr>
            <w:tcW w:w="2891" w:type="dxa"/>
            <w:vAlign w:val="center"/>
          </w:tcPr>
          <w:p>
            <w:pPr>
              <w:pStyle w:val="13"/>
            </w:pPr>
            <w:r>
              <w:t>实际收治学生人数与全市符合送教条件学生人数比率</w:t>
            </w:r>
          </w:p>
        </w:tc>
        <w:tc>
          <w:tcPr>
            <w:tcW w:w="1276" w:type="dxa"/>
            <w:vAlign w:val="center"/>
          </w:tcPr>
          <w:p>
            <w:pPr>
              <w:pStyle w:val="13"/>
            </w:pPr>
            <w:r>
              <w:t>≥25%</w:t>
            </w:r>
          </w:p>
        </w:tc>
        <w:tc>
          <w:tcPr>
            <w:tcW w:w="1843" w:type="dxa"/>
            <w:vAlign w:val="center"/>
          </w:tcPr>
          <w:p>
            <w:pPr>
              <w:pStyle w:val="13"/>
            </w:pPr>
            <w:r>
              <w:t>河北省教育厅等十三单位关于印发《河北省专门学校建设和专门教育有关规定（试行）》的通知 冀教德育【2025】12号，唐山市专门教育指导委员会会议纪要 唐专教指委纪要【2025】2号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在校学生对学校教学环境、教学质量、管理水平的满意度</w:t>
            </w:r>
          </w:p>
        </w:tc>
        <w:tc>
          <w:tcPr>
            <w:tcW w:w="1276" w:type="dxa"/>
            <w:vAlign w:val="center"/>
          </w:tcPr>
          <w:p>
            <w:pPr>
              <w:pStyle w:val="13"/>
            </w:pPr>
            <w:r>
              <w:t>≥90%</w:t>
            </w:r>
          </w:p>
        </w:tc>
        <w:tc>
          <w:tcPr>
            <w:tcW w:w="1843" w:type="dxa"/>
            <w:vAlign w:val="center"/>
          </w:tcPr>
          <w:p>
            <w:pPr>
              <w:pStyle w:val="13"/>
            </w:pPr>
            <w:r>
              <w:t>河北省教育厅等十三单位关于印发《河北省专门学校建设和专门教育有关规定（试行）》的通知 冀教德育【2025】12号，唐山市专门教育指导委员会会议纪要 唐专教指委纪要【2025】2号</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6" w:name="_Toc_4_4_0000000047"/>
      <w:r>
        <w:rPr>
          <w:rFonts w:ascii="方正仿宋_GBK" w:hAnsi="方正仿宋_GBK" w:eastAsia="方正仿宋_GBK" w:cs="方正仿宋_GBK"/>
          <w:color w:val="000000"/>
          <w:sz w:val="28"/>
        </w:rPr>
        <w:t>44.启明学校专项教育经费绩效目标表</w:t>
      </w:r>
      <w:bookmarkEnd w:id="46"/>
    </w:p>
    <w:tbl>
      <w:tblPr>
        <w:tblStyle w:val="5"/>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307007唐山市启明学校</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13020026P00013710001H</w:t>
            </w:r>
          </w:p>
        </w:tc>
        <w:tc>
          <w:tcPr>
            <w:tcW w:w="1587" w:type="dxa"/>
            <w:vAlign w:val="center"/>
          </w:tcPr>
          <w:p>
            <w:pPr>
              <w:pStyle w:val="14"/>
            </w:pPr>
            <w:r>
              <w:t>项目名称</w:t>
            </w:r>
          </w:p>
        </w:tc>
        <w:tc>
          <w:tcPr>
            <w:tcW w:w="4423" w:type="dxa"/>
            <w:gridSpan w:val="3"/>
            <w:vAlign w:val="center"/>
          </w:tcPr>
          <w:p>
            <w:pPr>
              <w:pStyle w:val="13"/>
            </w:pPr>
            <w:r>
              <w:t>启明学校专项教育经费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149.74</w:t>
            </w:r>
          </w:p>
        </w:tc>
        <w:tc>
          <w:tcPr>
            <w:tcW w:w="1587" w:type="dxa"/>
            <w:vAlign w:val="center"/>
          </w:tcPr>
          <w:p>
            <w:pPr>
              <w:pStyle w:val="14"/>
            </w:pPr>
            <w:r>
              <w:t>其中：财政    资金</w:t>
            </w:r>
          </w:p>
        </w:tc>
        <w:tc>
          <w:tcPr>
            <w:tcW w:w="1304" w:type="dxa"/>
            <w:vAlign w:val="center"/>
          </w:tcPr>
          <w:p>
            <w:pPr>
              <w:pStyle w:val="13"/>
            </w:pPr>
            <w:r>
              <w:t>149.74</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项目资金用于资产、设备购置；设施设备维修维护；专用材料费用；教学业务管理等支出。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1.项目资金用于资产、设备购置；设施设备维修维护；专用材料费用；教学业务管理等支出，以保障学校正常运行，学生满意度90%。</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学生人数</w:t>
            </w:r>
          </w:p>
        </w:tc>
        <w:tc>
          <w:tcPr>
            <w:tcW w:w="2891" w:type="dxa"/>
            <w:vAlign w:val="center"/>
          </w:tcPr>
          <w:p>
            <w:pPr>
              <w:pStyle w:val="13"/>
            </w:pPr>
            <w:r>
              <w:t>矫治教学学生人数</w:t>
            </w:r>
          </w:p>
        </w:tc>
        <w:tc>
          <w:tcPr>
            <w:tcW w:w="1276" w:type="dxa"/>
            <w:vAlign w:val="center"/>
          </w:tcPr>
          <w:p>
            <w:pPr>
              <w:pStyle w:val="13"/>
            </w:pPr>
            <w:r>
              <w:t>≥200人</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教学设施设备完好率</w:t>
            </w:r>
          </w:p>
        </w:tc>
        <w:tc>
          <w:tcPr>
            <w:tcW w:w="2891" w:type="dxa"/>
            <w:vAlign w:val="center"/>
          </w:tcPr>
          <w:p>
            <w:pPr>
              <w:pStyle w:val="13"/>
            </w:pPr>
            <w:r>
              <w:t>利用维修维护费保障设施设备正常运行比率</w:t>
            </w:r>
          </w:p>
        </w:tc>
        <w:tc>
          <w:tcPr>
            <w:tcW w:w="1276" w:type="dxa"/>
            <w:vAlign w:val="center"/>
          </w:tcPr>
          <w:p>
            <w:pPr>
              <w:pStyle w:val="13"/>
            </w:pPr>
            <w:r>
              <w:t>≥95%</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项目完成时间</w:t>
            </w:r>
          </w:p>
        </w:tc>
        <w:tc>
          <w:tcPr>
            <w:tcW w:w="2891" w:type="dxa"/>
            <w:vAlign w:val="center"/>
          </w:tcPr>
          <w:p>
            <w:pPr>
              <w:pStyle w:val="13"/>
            </w:pPr>
            <w:r>
              <w:t>项目保障学校运转完成时间</w:t>
            </w:r>
          </w:p>
        </w:tc>
        <w:tc>
          <w:tcPr>
            <w:tcW w:w="1276" w:type="dxa"/>
            <w:vAlign w:val="center"/>
          </w:tcPr>
          <w:p>
            <w:pPr>
              <w:pStyle w:val="13"/>
            </w:pPr>
            <w:r>
              <w:t>2026年12月31日前完成</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人均成本</w:t>
            </w:r>
          </w:p>
        </w:tc>
        <w:tc>
          <w:tcPr>
            <w:tcW w:w="2891" w:type="dxa"/>
            <w:vAlign w:val="center"/>
          </w:tcPr>
          <w:p>
            <w:pPr>
              <w:pStyle w:val="13"/>
            </w:pPr>
            <w:r>
              <w:t>在册学生生均成本</w:t>
            </w:r>
          </w:p>
        </w:tc>
        <w:tc>
          <w:tcPr>
            <w:tcW w:w="1276" w:type="dxa"/>
            <w:vAlign w:val="center"/>
          </w:tcPr>
          <w:p>
            <w:pPr>
              <w:pStyle w:val="13"/>
            </w:pPr>
            <w:r>
              <w:t>≤0.74万元</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校园各类文化体育活动参与率</w:t>
            </w:r>
          </w:p>
        </w:tc>
        <w:tc>
          <w:tcPr>
            <w:tcW w:w="2891" w:type="dxa"/>
            <w:vAlign w:val="center"/>
          </w:tcPr>
          <w:p>
            <w:pPr>
              <w:pStyle w:val="13"/>
            </w:pPr>
            <w:r>
              <w:t>校内外各类教学文体活动学生参与率</w:t>
            </w:r>
          </w:p>
        </w:tc>
        <w:tc>
          <w:tcPr>
            <w:tcW w:w="1276" w:type="dxa"/>
            <w:vAlign w:val="center"/>
          </w:tcPr>
          <w:p>
            <w:pPr>
              <w:pStyle w:val="13"/>
            </w:pPr>
            <w:r>
              <w:t>≥90%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学生对教学环境满意度比例</w:t>
            </w:r>
          </w:p>
        </w:tc>
        <w:tc>
          <w:tcPr>
            <w:tcW w:w="1276" w:type="dxa"/>
            <w:vAlign w:val="center"/>
          </w:tcPr>
          <w:p>
            <w:pPr>
              <w:pStyle w:val="13"/>
            </w:pPr>
            <w:r>
              <w:t>≥90%</w:t>
            </w:r>
          </w:p>
        </w:tc>
        <w:tc>
          <w:tcPr>
            <w:tcW w:w="1843" w:type="dxa"/>
            <w:vAlign w:val="center"/>
          </w:tcPr>
          <w:p>
            <w:pPr>
              <w:pStyle w:val="13"/>
            </w:pPr>
            <w:r>
              <w:t>工作计划</w:t>
            </w:r>
          </w:p>
        </w:tc>
      </w:tr>
    </w:tbl>
    <w:p/>
    <w:sectPr>
      <w:pgSz w:w="11900" w:h="16840"/>
      <w:pgMar w:top="1984" w:right="1304" w:bottom="1134" w:left="1304"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52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18583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3">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4">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58</Pages>
  <TotalTime>4</TotalTime>
  <ScaleCrop>false</ScaleCrop>
  <LinksUpToDate>false</LinksUpToDate>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2026-01-09T15:30:00Z</dcterms:created>
  <dc:creator>SFJ</dc:creator>
  <cp:lastModifiedBy>SFJ</cp:lastModifiedBy>
  <dcterms:modified xsi:type="dcterms:W3CDTF">2026-01-09T07:29:52Z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