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olor w:val="auto"/>
          <w:sz w:val="32"/>
          <w:szCs w:val="32"/>
        </w:rPr>
      </w:pPr>
      <w:r>
        <w:rPr>
          <w:rFonts w:hint="eastAsia" w:ascii="黑体" w:hAnsi="黑体" w:eastAsia="黑体"/>
          <w:color w:val="auto"/>
          <w:sz w:val="32"/>
          <w:szCs w:val="32"/>
        </w:rPr>
        <w:t>附件2</w:t>
      </w:r>
    </w:p>
    <w:p>
      <w:pPr>
        <w:spacing w:line="640" w:lineRule="exact"/>
        <w:jc w:val="center"/>
        <w:rPr>
          <w:rFonts w:ascii="方正小标宋简体" w:hAnsi="微软雅黑" w:eastAsia="方正小标宋简体"/>
          <w:color w:val="auto"/>
          <w:sz w:val="44"/>
          <w:szCs w:val="44"/>
        </w:rPr>
      </w:pPr>
      <w:r>
        <w:rPr>
          <w:rFonts w:hint="eastAsia" w:ascii="方正小标宋简体" w:hAnsi="微软雅黑" w:eastAsia="方正小标宋简体"/>
          <w:color w:val="auto"/>
          <w:sz w:val="44"/>
          <w:szCs w:val="44"/>
        </w:rPr>
        <w:t>河北省体育系统行政检查裁量权基准（</w:t>
      </w:r>
      <w:r>
        <w:rPr>
          <w:rFonts w:hint="eastAsia" w:ascii="方正小标宋简体" w:hAnsi="微软雅黑" w:eastAsia="方正小标宋简体"/>
          <w:color w:val="auto"/>
          <w:sz w:val="44"/>
          <w:szCs w:val="44"/>
          <w:lang w:val="en-US" w:eastAsia="zh-CN"/>
        </w:rPr>
        <w:t>试行</w:t>
      </w:r>
      <w:r>
        <w:rPr>
          <w:rFonts w:hint="eastAsia" w:ascii="方正小标宋简体" w:hAnsi="微软雅黑" w:eastAsia="方正小标宋简体"/>
          <w:color w:val="auto"/>
          <w:sz w:val="44"/>
          <w:szCs w:val="44"/>
        </w:rPr>
        <w:t>）</w:t>
      </w:r>
    </w:p>
    <w:tbl>
      <w:tblPr>
        <w:tblStyle w:val="3"/>
        <w:tblW w:w="144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400"/>
        <w:gridCol w:w="6937"/>
        <w:gridCol w:w="1223"/>
        <w:gridCol w:w="1223"/>
        <w:gridCol w:w="1223"/>
        <w:gridCol w:w="923"/>
        <w:gridCol w:w="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jc w:val="center"/>
        </w:trPr>
        <w:tc>
          <w:tcPr>
            <w:tcW w:w="7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22"/>
              </w:rPr>
            </w:pPr>
            <w:r>
              <w:rPr>
                <w:rFonts w:hint="eastAsia" w:ascii="黑体" w:hAnsi="黑体" w:eastAsia="黑体"/>
                <w:color w:val="auto"/>
                <w:sz w:val="22"/>
              </w:rPr>
              <w:t>序号</w:t>
            </w:r>
          </w:p>
        </w:tc>
        <w:tc>
          <w:tcPr>
            <w:tcW w:w="14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22"/>
              </w:rPr>
            </w:pPr>
            <w:r>
              <w:rPr>
                <w:rFonts w:hint="eastAsia" w:ascii="黑体" w:hAnsi="黑体" w:eastAsia="黑体"/>
                <w:color w:val="auto"/>
                <w:sz w:val="22"/>
              </w:rPr>
              <w:t>检查事项</w:t>
            </w:r>
          </w:p>
        </w:tc>
        <w:tc>
          <w:tcPr>
            <w:tcW w:w="693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22"/>
              </w:rPr>
            </w:pPr>
            <w:r>
              <w:rPr>
                <w:rFonts w:hint="eastAsia" w:ascii="黑体" w:hAnsi="黑体" w:eastAsia="黑体"/>
                <w:color w:val="auto"/>
                <w:sz w:val="22"/>
              </w:rPr>
              <w:t>法定依据</w:t>
            </w:r>
          </w:p>
        </w:tc>
        <w:tc>
          <w:tcPr>
            <w:tcW w:w="12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22"/>
              </w:rPr>
            </w:pPr>
            <w:r>
              <w:rPr>
                <w:rFonts w:hint="eastAsia" w:ascii="黑体" w:hAnsi="黑体" w:eastAsia="黑体"/>
                <w:color w:val="auto"/>
                <w:sz w:val="22"/>
              </w:rPr>
              <w:t>事项范围</w:t>
            </w:r>
          </w:p>
        </w:tc>
        <w:tc>
          <w:tcPr>
            <w:tcW w:w="12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22"/>
              </w:rPr>
            </w:pPr>
            <w:r>
              <w:rPr>
                <w:rFonts w:hint="eastAsia" w:ascii="黑体" w:hAnsi="黑体" w:eastAsia="黑体"/>
                <w:color w:val="auto"/>
                <w:sz w:val="22"/>
              </w:rPr>
              <w:t>检查方式</w:t>
            </w:r>
          </w:p>
        </w:tc>
        <w:tc>
          <w:tcPr>
            <w:tcW w:w="12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22"/>
              </w:rPr>
            </w:pPr>
            <w:r>
              <w:rPr>
                <w:rFonts w:hint="eastAsia" w:ascii="黑体" w:hAnsi="黑体" w:eastAsia="黑体"/>
                <w:color w:val="auto"/>
                <w:sz w:val="22"/>
              </w:rPr>
              <w:t>检查频次</w:t>
            </w:r>
          </w:p>
        </w:tc>
        <w:tc>
          <w:tcPr>
            <w:tcW w:w="9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22"/>
              </w:rPr>
            </w:pPr>
            <w:r>
              <w:rPr>
                <w:rFonts w:hint="eastAsia" w:ascii="黑体" w:hAnsi="黑体" w:eastAsia="黑体"/>
                <w:color w:val="auto"/>
                <w:sz w:val="22"/>
              </w:rPr>
              <w:t>检查权限</w:t>
            </w:r>
          </w:p>
        </w:tc>
        <w:tc>
          <w:tcPr>
            <w:tcW w:w="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22"/>
              </w:rPr>
            </w:pPr>
            <w:r>
              <w:rPr>
                <w:rFonts w:hint="eastAsia" w:ascii="黑体" w:hAnsi="黑体" w:eastAsia="黑体"/>
                <w:color w:val="auto"/>
                <w:sz w:val="22"/>
              </w:rPr>
              <w:t>是否联合检查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9" w:hRule="atLeast"/>
          <w:jc w:val="center"/>
        </w:trPr>
        <w:tc>
          <w:tcPr>
            <w:tcW w:w="747" w:type="dxa"/>
            <w:shd w:val="clear" w:color="auto" w:fill="auto"/>
            <w:vAlign w:val="center"/>
          </w:tcPr>
          <w:p>
            <w:pPr>
              <w:spacing w:line="240" w:lineRule="exact"/>
              <w:jc w:val="center"/>
              <w:rPr>
                <w:rFonts w:ascii="仿宋_GB2312" w:hAnsi="仿宋" w:eastAsia="仿宋_GB2312"/>
                <w:color w:val="auto"/>
                <w:sz w:val="18"/>
                <w:szCs w:val="18"/>
              </w:rPr>
            </w:pPr>
            <w:r>
              <w:rPr>
                <w:rFonts w:hint="eastAsia" w:ascii="仿宋_GB2312" w:hAnsi="仿宋" w:eastAsia="仿宋_GB2312"/>
                <w:color w:val="auto"/>
                <w:sz w:val="18"/>
                <w:szCs w:val="18"/>
              </w:rPr>
              <w:t>1</w:t>
            </w:r>
          </w:p>
        </w:tc>
        <w:tc>
          <w:tcPr>
            <w:tcW w:w="1400" w:type="dxa"/>
            <w:shd w:val="clear" w:color="auto" w:fill="auto"/>
            <w:vAlign w:val="center"/>
          </w:tcPr>
          <w:p>
            <w:pPr>
              <w:widowControl/>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对违法授予运动员技术等级的行政检查</w:t>
            </w:r>
          </w:p>
        </w:tc>
        <w:tc>
          <w:tcPr>
            <w:tcW w:w="6937" w:type="dxa"/>
            <w:shd w:val="clear" w:color="auto" w:fill="auto"/>
            <w:vAlign w:val="center"/>
          </w:tcPr>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《运动员技术等级管理办法》第三十四条 违反本办法授予等级称号的，授权单位应当责成审批单位撤销已授予的等级称号。情节严重的，授权单位可以责成其进行整改，并可以暂停其3年以内的审批权。</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第三十五条 提供虚假申请材料的运动员，审批单位应当撤销已授予的等级称号，并可以作出3年内不受理其等级称号申请的决定。</w:t>
            </w:r>
          </w:p>
        </w:tc>
        <w:tc>
          <w:tcPr>
            <w:tcW w:w="1223" w:type="dxa"/>
            <w:shd w:val="clear" w:color="auto" w:fill="auto"/>
            <w:vAlign w:val="center"/>
          </w:tcPr>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公民</w:t>
            </w:r>
          </w:p>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个人</w:t>
            </w:r>
          </w:p>
        </w:tc>
        <w:tc>
          <w:tcPr>
            <w:tcW w:w="1223" w:type="dxa"/>
            <w:shd w:val="clear" w:color="auto" w:fill="auto"/>
            <w:vAlign w:val="center"/>
          </w:tcPr>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非现场检查</w:t>
            </w:r>
          </w:p>
        </w:tc>
        <w:tc>
          <w:tcPr>
            <w:tcW w:w="1223"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1次/年</w:t>
            </w:r>
          </w:p>
        </w:tc>
        <w:tc>
          <w:tcPr>
            <w:tcW w:w="923"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省级</w:t>
            </w:r>
          </w:p>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市级</w:t>
            </w:r>
          </w:p>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县级</w:t>
            </w:r>
          </w:p>
        </w:tc>
        <w:tc>
          <w:tcPr>
            <w:tcW w:w="754"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4" w:hRule="atLeast"/>
          <w:jc w:val="center"/>
        </w:trPr>
        <w:tc>
          <w:tcPr>
            <w:tcW w:w="747" w:type="dxa"/>
            <w:shd w:val="clear" w:color="auto" w:fill="auto"/>
            <w:vAlign w:val="center"/>
          </w:tcPr>
          <w:p>
            <w:pPr>
              <w:spacing w:line="240" w:lineRule="exact"/>
              <w:jc w:val="center"/>
              <w:rPr>
                <w:rFonts w:ascii="仿宋_GB2312" w:hAnsi="仿宋" w:eastAsia="仿宋_GB2312"/>
                <w:color w:val="auto"/>
                <w:sz w:val="18"/>
                <w:szCs w:val="18"/>
              </w:rPr>
            </w:pPr>
            <w:r>
              <w:rPr>
                <w:rFonts w:hint="eastAsia" w:ascii="仿宋_GB2312" w:hAnsi="仿宋" w:eastAsia="仿宋_GB2312"/>
                <w:color w:val="auto"/>
                <w:sz w:val="18"/>
                <w:szCs w:val="18"/>
              </w:rPr>
              <w:t>2</w:t>
            </w:r>
          </w:p>
        </w:tc>
        <w:tc>
          <w:tcPr>
            <w:tcW w:w="1400" w:type="dxa"/>
            <w:shd w:val="clear" w:color="auto" w:fill="auto"/>
            <w:vAlign w:val="center"/>
          </w:tcPr>
          <w:p>
            <w:pPr>
              <w:widowControl/>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对射击竞技体育运动单位的行政检查</w:t>
            </w:r>
          </w:p>
        </w:tc>
        <w:tc>
          <w:tcPr>
            <w:tcW w:w="6937" w:type="dxa"/>
            <w:shd w:val="clear" w:color="auto" w:fill="auto"/>
            <w:vAlign w:val="center"/>
          </w:tcPr>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《射击竞技体育运动枪支管理办法》第三十六条 射击竞技体育运动单位存在下列行为之一的，由省级体育行政部门责令限期改正，情节严重的，撤销从事射击竞技体育运动的许可：</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（一）未按规定进行运动枪支调剂的；</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（二）未按规定上缴报废运动枪支的；</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（三）弄虚作假，未如实申报购置计划、超标购置运动枪支的；</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（四）训练场所、枪弹库（室）的安全设施存在严重安全隐患的。</w:t>
            </w:r>
          </w:p>
        </w:tc>
        <w:tc>
          <w:tcPr>
            <w:tcW w:w="1223" w:type="dxa"/>
            <w:shd w:val="clear" w:color="auto" w:fill="auto"/>
            <w:vAlign w:val="center"/>
          </w:tcPr>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从事射击竞技体育运动的企事业单位和社会团体</w:t>
            </w:r>
          </w:p>
        </w:tc>
        <w:tc>
          <w:tcPr>
            <w:tcW w:w="1223" w:type="dxa"/>
            <w:shd w:val="clear" w:color="auto" w:fill="auto"/>
            <w:vAlign w:val="center"/>
          </w:tcPr>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现场检查</w:t>
            </w:r>
          </w:p>
        </w:tc>
        <w:tc>
          <w:tcPr>
            <w:tcW w:w="1223"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1次/年</w:t>
            </w:r>
          </w:p>
        </w:tc>
        <w:tc>
          <w:tcPr>
            <w:tcW w:w="923"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省级</w:t>
            </w:r>
          </w:p>
        </w:tc>
        <w:tc>
          <w:tcPr>
            <w:tcW w:w="754" w:type="dxa"/>
            <w:shd w:val="clear" w:color="auto" w:fill="auto"/>
            <w:vAlign w:val="center"/>
          </w:tcPr>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联合省公安厅</w:t>
            </w:r>
          </w:p>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辖区公安部门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7" w:hRule="atLeast"/>
          <w:jc w:val="center"/>
        </w:trPr>
        <w:tc>
          <w:tcPr>
            <w:tcW w:w="747" w:type="dxa"/>
            <w:shd w:val="clear" w:color="auto" w:fill="auto"/>
            <w:vAlign w:val="center"/>
          </w:tcPr>
          <w:p>
            <w:pPr>
              <w:spacing w:line="240" w:lineRule="exact"/>
              <w:jc w:val="center"/>
              <w:rPr>
                <w:rFonts w:ascii="仿宋_GB2312" w:hAnsi="仿宋" w:eastAsia="仿宋_GB2312"/>
                <w:color w:val="auto"/>
                <w:sz w:val="18"/>
                <w:szCs w:val="18"/>
              </w:rPr>
            </w:pPr>
            <w:r>
              <w:rPr>
                <w:rFonts w:hint="eastAsia" w:ascii="仿宋_GB2312" w:hAnsi="仿宋" w:eastAsia="仿宋_GB2312"/>
                <w:color w:val="auto"/>
                <w:sz w:val="18"/>
                <w:szCs w:val="18"/>
              </w:rPr>
              <w:t>3</w:t>
            </w:r>
          </w:p>
        </w:tc>
        <w:tc>
          <w:tcPr>
            <w:tcW w:w="1400" w:type="dxa"/>
            <w:shd w:val="clear" w:color="auto" w:fill="auto"/>
            <w:vAlign w:val="center"/>
          </w:tcPr>
          <w:p>
            <w:pPr>
              <w:widowControl/>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对体育类民办非企业单位的行政检查</w:t>
            </w:r>
          </w:p>
        </w:tc>
        <w:tc>
          <w:tcPr>
            <w:tcW w:w="6937" w:type="dxa"/>
            <w:shd w:val="clear" w:color="auto" w:fill="auto"/>
            <w:vAlign w:val="center"/>
          </w:tcPr>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《民办非企业单位登记管理暂行条例》第二十条　业务主管单位履行下列监督管理职责：</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（一）负责民办非企业单位成立、变更、注销登记前的审查；</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（二）监督、指导民办非企业单位遵守宪法、法律、法规和国家政策，按照章程开展活动；</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（三）负责民办非企业单位年度检查的初审；</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（四）协助登记管理机关和其他有关部门查处民办非企业单位的违法行为；</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（五）会同有关机关指导民办非企业单位的清算事宜。业务主管单位履行前款规定的职责，不得向民办非企业单位收取费用。</w:t>
            </w:r>
          </w:p>
        </w:tc>
        <w:tc>
          <w:tcPr>
            <w:tcW w:w="1223" w:type="dxa"/>
            <w:shd w:val="clear" w:color="auto" w:fill="auto"/>
            <w:vAlign w:val="center"/>
          </w:tcPr>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省级体育类民办非企业</w:t>
            </w:r>
          </w:p>
        </w:tc>
        <w:tc>
          <w:tcPr>
            <w:tcW w:w="1223" w:type="dxa"/>
            <w:shd w:val="clear" w:color="auto" w:fill="auto"/>
            <w:vAlign w:val="center"/>
          </w:tcPr>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非现场检查</w:t>
            </w:r>
          </w:p>
        </w:tc>
        <w:tc>
          <w:tcPr>
            <w:tcW w:w="1223"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1次/年</w:t>
            </w:r>
          </w:p>
        </w:tc>
        <w:tc>
          <w:tcPr>
            <w:tcW w:w="923"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省级</w:t>
            </w:r>
          </w:p>
        </w:tc>
        <w:tc>
          <w:tcPr>
            <w:tcW w:w="754"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atLeast"/>
          <w:jc w:val="center"/>
        </w:trPr>
        <w:tc>
          <w:tcPr>
            <w:tcW w:w="747" w:type="dxa"/>
            <w:shd w:val="clear" w:color="auto" w:fill="auto"/>
            <w:vAlign w:val="center"/>
          </w:tcPr>
          <w:p>
            <w:pPr>
              <w:spacing w:line="240" w:lineRule="exact"/>
              <w:jc w:val="center"/>
              <w:rPr>
                <w:rFonts w:ascii="仿宋_GB2312" w:hAnsi="仿宋" w:eastAsia="仿宋_GB2312"/>
                <w:color w:val="auto"/>
                <w:sz w:val="18"/>
                <w:szCs w:val="18"/>
              </w:rPr>
            </w:pPr>
            <w:r>
              <w:rPr>
                <w:rFonts w:hint="eastAsia" w:ascii="仿宋_GB2312" w:hAnsi="仿宋" w:eastAsia="仿宋_GB2312"/>
                <w:color w:val="auto"/>
                <w:sz w:val="18"/>
                <w:szCs w:val="18"/>
              </w:rPr>
              <w:t>4</w:t>
            </w:r>
          </w:p>
        </w:tc>
        <w:tc>
          <w:tcPr>
            <w:tcW w:w="1400" w:type="dxa"/>
            <w:shd w:val="clear" w:color="auto" w:fill="auto"/>
            <w:vAlign w:val="center"/>
          </w:tcPr>
          <w:p>
            <w:pPr>
              <w:widowControl/>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对体育类基金会的行政检查</w:t>
            </w:r>
          </w:p>
        </w:tc>
        <w:tc>
          <w:tcPr>
            <w:tcW w:w="6937" w:type="dxa"/>
            <w:shd w:val="clear" w:color="auto" w:fill="auto"/>
            <w:vAlign w:val="center"/>
          </w:tcPr>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《基金会管理条例》第三十五条　基金会业务主管单位履行下列监督管理职责：</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（一）指导、监督基金会、境外基金会代表机构依据法律和章程开展公益活动；</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（二）负责基金会、境外基金会代表机构年度检查的初审；</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（三）配合登记管理机关、其他执法部门查处基金会、境外基金会代表机构的违法行为。</w:t>
            </w:r>
          </w:p>
        </w:tc>
        <w:tc>
          <w:tcPr>
            <w:tcW w:w="1223" w:type="dxa"/>
            <w:shd w:val="clear" w:color="auto" w:fill="auto"/>
            <w:vAlign w:val="center"/>
          </w:tcPr>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省级体育类基金会</w:t>
            </w:r>
          </w:p>
        </w:tc>
        <w:tc>
          <w:tcPr>
            <w:tcW w:w="1223" w:type="dxa"/>
            <w:shd w:val="clear" w:color="auto" w:fill="auto"/>
            <w:vAlign w:val="center"/>
          </w:tcPr>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现场检查</w:t>
            </w:r>
          </w:p>
        </w:tc>
        <w:tc>
          <w:tcPr>
            <w:tcW w:w="1223"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1次/年</w:t>
            </w:r>
          </w:p>
        </w:tc>
        <w:tc>
          <w:tcPr>
            <w:tcW w:w="923"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省级</w:t>
            </w:r>
          </w:p>
        </w:tc>
        <w:tc>
          <w:tcPr>
            <w:tcW w:w="754"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7" w:hRule="atLeast"/>
          <w:jc w:val="center"/>
        </w:trPr>
        <w:tc>
          <w:tcPr>
            <w:tcW w:w="747" w:type="dxa"/>
            <w:shd w:val="clear" w:color="auto" w:fill="auto"/>
            <w:vAlign w:val="center"/>
          </w:tcPr>
          <w:p>
            <w:pPr>
              <w:jc w:val="center"/>
              <w:rPr>
                <w:rFonts w:ascii="仿宋_GB2312" w:hAnsi="仿宋" w:eastAsia="仿宋_GB2312"/>
                <w:color w:val="auto"/>
                <w:sz w:val="18"/>
                <w:szCs w:val="18"/>
              </w:rPr>
            </w:pPr>
            <w:r>
              <w:rPr>
                <w:rFonts w:hint="eastAsia" w:ascii="仿宋_GB2312" w:hAnsi="仿宋" w:eastAsia="仿宋_GB2312"/>
                <w:color w:val="auto"/>
                <w:sz w:val="18"/>
                <w:szCs w:val="18"/>
              </w:rPr>
              <w:t>5</w:t>
            </w:r>
          </w:p>
        </w:tc>
        <w:tc>
          <w:tcPr>
            <w:tcW w:w="1400" w:type="dxa"/>
            <w:shd w:val="clear" w:color="auto" w:fill="auto"/>
            <w:vAlign w:val="center"/>
          </w:tcPr>
          <w:p>
            <w:pPr>
              <w:widowControl/>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对使用兴奋剂的行政检查</w:t>
            </w:r>
          </w:p>
        </w:tc>
        <w:tc>
          <w:tcPr>
            <w:tcW w:w="6937" w:type="dxa"/>
            <w:shd w:val="clear" w:color="auto" w:fill="auto"/>
            <w:vAlign w:val="center"/>
          </w:tcPr>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《反兴奋剂条例》第三十一条　国务院体育主管部门应当制定兴奋剂检查规则和兴奋剂检查计划并组织实施。</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第三十二条　国务院体育主管部门应当根据兴奋剂检查计划，决定对全国性体育竞赛的参赛运动员实施赛内兴奋剂检查；并可以决定对省级体育竞赛的参赛运动员实施赛内兴奋剂检查。其他体育竞赛需要进行赛内兴奋剂检查的，由竞赛组织者决定。</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第三十三条　国务院体育主管部门应当根据兴奋剂检查计划，决定对在全国性体育社会团体注册的运动员实施赛外兴奋剂检查。</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第三十五条　实施兴奋剂检查，应当有2名以上检查人员参加。检查人员履行兴奋剂检查职责时，应当出示兴奋剂检查证件；向运动员采集受检样本时，还应当出示按照兴奋剂检查规则签发的一次性兴奋剂检查授权书。检查人员履行兴奋剂检查职责时，有权进入体育训练场所、体育竞赛场所和运动员驻地。有关单位和人员应当对检查人员履行兴奋剂检查职责予以配合，不得拒绝、阻挠。</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第三十九条　体育社会团体、运动员管理单位向运动员提供兴奋剂或者组织、强迫、欺骗运动员在体育运动中使用兴奋剂的，由国务院体育主管部门或者省、自治区、直辖市人民政府体育主管部门收缴非法持有的兴奋剂。</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第四十条　运动员辅助人员组织、强迫、欺骗、教唆运动员在体育运动中使用兴奋剂的，由国务院体育主管部门或者省、自治区、直辖市人民政府体育主管部门收缴非法持有的兴奋剂；</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运动员辅助人员向运动员提供兴奋剂，或者协助运动员在体育运动中使用兴奋剂，或者实施影响采样结果行为的，由国务院体育主管部门或者省、自治区、直辖市人民政府体育主管部门收缴非法持有的兴奋剂；</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第四十一条　运动员辅助人员非法持有兴奋剂的，由国务院体育主管部门或者省、自治区、直辖市人民政府体育主管部门收缴非法持有的兴奋剂。</w:t>
            </w:r>
          </w:p>
        </w:tc>
        <w:tc>
          <w:tcPr>
            <w:tcW w:w="1223" w:type="dxa"/>
            <w:shd w:val="clear" w:color="auto" w:fill="auto"/>
            <w:vAlign w:val="center"/>
          </w:tcPr>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省内各协会训练单位</w:t>
            </w:r>
          </w:p>
        </w:tc>
        <w:tc>
          <w:tcPr>
            <w:tcW w:w="1223" w:type="dxa"/>
            <w:shd w:val="clear" w:color="auto" w:fill="auto"/>
            <w:vAlign w:val="center"/>
          </w:tcPr>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现场检查</w:t>
            </w:r>
          </w:p>
        </w:tc>
        <w:tc>
          <w:tcPr>
            <w:tcW w:w="1223"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1次/年</w:t>
            </w:r>
          </w:p>
        </w:tc>
        <w:tc>
          <w:tcPr>
            <w:tcW w:w="923"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省级</w:t>
            </w:r>
          </w:p>
        </w:tc>
        <w:tc>
          <w:tcPr>
            <w:tcW w:w="754"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0" w:hRule="atLeast"/>
          <w:jc w:val="center"/>
        </w:trPr>
        <w:tc>
          <w:tcPr>
            <w:tcW w:w="747" w:type="dxa"/>
            <w:shd w:val="clear" w:color="auto" w:fill="auto"/>
            <w:vAlign w:val="center"/>
          </w:tcPr>
          <w:p>
            <w:pPr>
              <w:jc w:val="center"/>
              <w:rPr>
                <w:rFonts w:ascii="仿宋_GB2312" w:hAnsi="仿宋" w:eastAsia="仿宋_GB2312"/>
                <w:color w:val="auto"/>
                <w:sz w:val="18"/>
                <w:szCs w:val="18"/>
              </w:rPr>
            </w:pPr>
            <w:r>
              <w:rPr>
                <w:rFonts w:hint="eastAsia" w:ascii="仿宋_GB2312" w:hAnsi="仿宋" w:eastAsia="仿宋_GB2312"/>
                <w:color w:val="auto"/>
                <w:sz w:val="18"/>
                <w:szCs w:val="18"/>
              </w:rPr>
              <w:t>6</w:t>
            </w:r>
          </w:p>
        </w:tc>
        <w:tc>
          <w:tcPr>
            <w:tcW w:w="1400" w:type="dxa"/>
            <w:shd w:val="clear" w:color="auto" w:fill="auto"/>
            <w:vAlign w:val="center"/>
          </w:tcPr>
          <w:p>
            <w:pPr>
              <w:widowControl/>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对举办健身气功活动的行政检查</w:t>
            </w:r>
          </w:p>
        </w:tc>
        <w:tc>
          <w:tcPr>
            <w:tcW w:w="6937" w:type="dxa"/>
            <w:shd w:val="clear" w:color="auto" w:fill="auto"/>
            <w:vAlign w:val="center"/>
          </w:tcPr>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《健身气功管理办法》第十一条　省(区、市)内举办的健身气功活动，经具有相应管辖权限的体育行政部门批准；跨地区的健身气功活动，经所跨地区共同的上一级体育行政部门批准。</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参加人数在二百人以上的健身气功活动，除报体育行政部门审核批准外，还应当按照《群众性文化体育活动治安管理办法》的规定经公安机关许可。</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第二十七条　违反本办法规定，擅自举办健身气功活动，或擅自设立健身气功站点的，由体育行政部门配合公安机关等有关部门予以取缔，并由公安机关根据《群众性文化体育活动治安管理办法》的规定进行处罚。</w:t>
            </w:r>
          </w:p>
        </w:tc>
        <w:tc>
          <w:tcPr>
            <w:tcW w:w="1223" w:type="dxa"/>
            <w:shd w:val="clear" w:color="auto" w:fill="auto"/>
            <w:vAlign w:val="center"/>
          </w:tcPr>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事业单位</w:t>
            </w:r>
          </w:p>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企业</w:t>
            </w:r>
          </w:p>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社会组织</w:t>
            </w:r>
          </w:p>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公民个人</w:t>
            </w:r>
          </w:p>
        </w:tc>
        <w:tc>
          <w:tcPr>
            <w:tcW w:w="1223" w:type="dxa"/>
            <w:shd w:val="clear" w:color="auto" w:fill="auto"/>
            <w:vAlign w:val="center"/>
          </w:tcPr>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现场检查</w:t>
            </w:r>
          </w:p>
        </w:tc>
        <w:tc>
          <w:tcPr>
            <w:tcW w:w="1223"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1次/年</w:t>
            </w:r>
          </w:p>
        </w:tc>
        <w:tc>
          <w:tcPr>
            <w:tcW w:w="923"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省级</w:t>
            </w:r>
          </w:p>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市级</w:t>
            </w:r>
          </w:p>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县级</w:t>
            </w:r>
          </w:p>
        </w:tc>
        <w:tc>
          <w:tcPr>
            <w:tcW w:w="754"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7" w:hRule="atLeast"/>
          <w:jc w:val="center"/>
        </w:trPr>
        <w:tc>
          <w:tcPr>
            <w:tcW w:w="747" w:type="dxa"/>
            <w:shd w:val="clear" w:color="auto" w:fill="auto"/>
            <w:vAlign w:val="center"/>
          </w:tcPr>
          <w:p>
            <w:pPr>
              <w:jc w:val="center"/>
              <w:rPr>
                <w:rFonts w:ascii="仿宋_GB2312" w:hAnsi="仿宋" w:eastAsia="仿宋_GB2312"/>
                <w:color w:val="auto"/>
                <w:sz w:val="18"/>
                <w:szCs w:val="18"/>
              </w:rPr>
            </w:pPr>
            <w:r>
              <w:rPr>
                <w:rFonts w:hint="eastAsia" w:ascii="仿宋_GB2312" w:hAnsi="仿宋" w:eastAsia="仿宋_GB2312"/>
                <w:color w:val="auto"/>
                <w:sz w:val="18"/>
                <w:szCs w:val="18"/>
              </w:rPr>
              <w:t>7</w:t>
            </w:r>
          </w:p>
        </w:tc>
        <w:tc>
          <w:tcPr>
            <w:tcW w:w="1400" w:type="dxa"/>
            <w:shd w:val="clear" w:color="auto" w:fill="auto"/>
            <w:vAlign w:val="center"/>
          </w:tcPr>
          <w:p>
            <w:pPr>
              <w:widowControl/>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对体育类社会团体的行政检查</w:t>
            </w:r>
          </w:p>
        </w:tc>
        <w:tc>
          <w:tcPr>
            <w:tcW w:w="6937" w:type="dxa"/>
            <w:shd w:val="clear" w:color="auto" w:fill="auto"/>
            <w:vAlign w:val="center"/>
          </w:tcPr>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《社会团体登记管理条例》第二十五条  业务主管单位履行下列监督管理职责：</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（一）负责社会团体成立登记、变更登记、注销登记前的审查；</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（二）监督、指导社会团体遵守宪法、法律、法规和国家政策，依据其章程开展活动；</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（三）负责社会团体年度检查的初审；</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（四）协助登记管理机关和其他有关部门查处社会团体的违法行为；</w:t>
            </w:r>
          </w:p>
          <w:p>
            <w:pPr>
              <w:spacing w:line="240" w:lineRule="exact"/>
              <w:ind w:firstLine="360" w:firstLineChars="2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（五）会同有关机关指导社会团体的清算事宜。</w:t>
            </w:r>
          </w:p>
        </w:tc>
        <w:tc>
          <w:tcPr>
            <w:tcW w:w="1223" w:type="dxa"/>
            <w:shd w:val="clear" w:color="auto" w:fill="auto"/>
            <w:vAlign w:val="center"/>
          </w:tcPr>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省体育局局属体育社会团体</w:t>
            </w:r>
          </w:p>
        </w:tc>
        <w:tc>
          <w:tcPr>
            <w:tcW w:w="1223" w:type="dxa"/>
            <w:shd w:val="clear" w:color="auto" w:fill="auto"/>
            <w:vAlign w:val="center"/>
          </w:tcPr>
          <w:p>
            <w:pPr>
              <w:widowControl/>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非现场检查</w:t>
            </w:r>
          </w:p>
        </w:tc>
        <w:tc>
          <w:tcPr>
            <w:tcW w:w="1223"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1次/年</w:t>
            </w:r>
          </w:p>
        </w:tc>
        <w:tc>
          <w:tcPr>
            <w:tcW w:w="923" w:type="dxa"/>
            <w:shd w:val="clear" w:color="auto" w:fill="auto"/>
            <w:vAlign w:val="center"/>
          </w:tcPr>
          <w:p>
            <w:pPr>
              <w:spacing w:line="240" w:lineRule="exact"/>
              <w:ind w:firstLine="180" w:firstLineChars="10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省级</w:t>
            </w:r>
          </w:p>
        </w:tc>
        <w:tc>
          <w:tcPr>
            <w:tcW w:w="754" w:type="dxa"/>
            <w:shd w:val="clear" w:color="auto" w:fill="auto"/>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否</w:t>
            </w:r>
          </w:p>
        </w:tc>
      </w:tr>
    </w:tbl>
    <w:p>
      <w:pPr>
        <w:rPr>
          <w:rFonts w:ascii="仿宋_GB2312" w:hAnsi="仿宋_GB2312" w:eastAsia="仿宋_GB2312" w:cs="仿宋_GB2312"/>
          <w:color w:val="auto"/>
          <w:sz w:val="22"/>
        </w:rPr>
      </w:pPr>
      <w:r>
        <w:rPr>
          <w:rFonts w:hint="eastAsia" w:ascii="楷体_GB2312" w:hAnsi="楷体" w:eastAsia="楷体_GB2312"/>
          <w:color w:val="auto"/>
          <w:sz w:val="24"/>
          <w:szCs w:val="24"/>
        </w:rPr>
        <w:t xml:space="preserve">    </w:t>
      </w:r>
      <w:r>
        <w:rPr>
          <w:rFonts w:hint="eastAsia" w:ascii="仿宋_GB2312" w:hAnsi="仿宋_GB2312" w:eastAsia="仿宋_GB2312" w:cs="仿宋_GB2312"/>
          <w:color w:val="auto"/>
          <w:sz w:val="22"/>
        </w:rPr>
        <w:t>注：属于“双随机</w:t>
      </w:r>
      <w:r>
        <w:rPr>
          <w:rFonts w:hint="eastAsia" w:ascii="仿宋_GB2312" w:hAnsi="仿宋_GB2312" w:eastAsia="仿宋_GB2312" w:cs="仿宋_GB2312"/>
          <w:color w:val="auto"/>
          <w:sz w:val="22"/>
          <w:lang w:eastAsia="zh-CN"/>
        </w:rPr>
        <w:t>、</w:t>
      </w:r>
      <w:r>
        <w:rPr>
          <w:rFonts w:hint="eastAsia" w:ascii="仿宋_GB2312" w:hAnsi="仿宋_GB2312" w:eastAsia="仿宋_GB2312" w:cs="仿宋_GB2312"/>
          <w:color w:val="auto"/>
          <w:sz w:val="22"/>
        </w:rPr>
        <w:t>一公开”监管的，不再列入裁量范围，河北省体育局涉及“双随机</w:t>
      </w:r>
      <w:r>
        <w:rPr>
          <w:rFonts w:hint="eastAsia" w:ascii="仿宋_GB2312" w:hAnsi="仿宋_GB2312" w:eastAsia="仿宋_GB2312" w:cs="仿宋_GB2312"/>
          <w:color w:val="auto"/>
          <w:sz w:val="22"/>
          <w:lang w:eastAsia="zh-CN"/>
        </w:rPr>
        <w:t>、</w:t>
      </w:r>
      <w:r>
        <w:rPr>
          <w:rFonts w:hint="eastAsia" w:ascii="仿宋_GB2312" w:hAnsi="仿宋_GB2312" w:eastAsia="仿宋_GB2312" w:cs="仿宋_GB2312"/>
          <w:color w:val="auto"/>
          <w:sz w:val="22"/>
        </w:rPr>
        <w:t>一公开”的行政检查事项为：对公共体育设施的行政检查、对经营高危险性体育项目单位的行政检查、对彩票代销者的行政检查、对社会体育指导员的行政检查。</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OTcwNTAxZmZlYWFkYjNjMzAwYzAyZWM4NDQ2NDcifQ=="/>
  </w:docVars>
  <w:rsids>
    <w:rsidRoot w:val="01013EC5"/>
    <w:rsid w:val="01013EC5"/>
    <w:rsid w:val="74541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Times New Roman" w:hAnsi="Times New Roman" w:eastAsia="仿宋" w:cs="华文楷体"/>
      <w:w w:val="100"/>
      <w:kern w:val="2"/>
      <w:sz w:val="30"/>
      <w:szCs w:val="24"/>
      <w:lang w:val="en-US" w:eastAsia="zh-CN" w:bidi="ar-SA"/>
    </w:rPr>
  </w:style>
  <w:style w:type="paragraph" w:styleId="2">
    <w:name w:val="heading 2"/>
    <w:basedOn w:val="1"/>
    <w:next w:val="1"/>
    <w:qFormat/>
    <w:uiPriority w:val="0"/>
    <w:pPr>
      <w:spacing w:before="100" w:beforeAutospacing="1" w:after="100" w:afterAutospacing="1" w:line="240" w:lineRule="auto"/>
      <w:ind w:firstLine="0"/>
      <w:jc w:val="left"/>
      <w:outlineLvl w:val="1"/>
    </w:pPr>
    <w:rPr>
      <w:rFonts w:ascii="宋体" w:hAnsi="宋体" w:eastAsia="宋体" w:cs="Times New Roman"/>
      <w:b/>
      <w:kern w:val="0"/>
      <w:sz w:val="36"/>
      <w:szCs w:val="36"/>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2023-10-19T02:43:00Z</dcterms:created>
  <dc:creator> 路小璐 ✨</dc:creator>
  <cp:lastModifiedBy>WPS_1615035468</cp:lastModifiedBy>
  <dcterms:modified xsi:type="dcterms:W3CDTF">2024-05-30T06:37:51Z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6D5A86CECFC4416592EC7C4349F8BF43_11</vt:lpwstr>
  </property>
</Properties>
</file>