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auto"/>
          <w:sz w:val="32"/>
          <w:szCs w:val="32"/>
        </w:rPr>
      </w:pPr>
      <w:r>
        <w:rPr>
          <w:rFonts w:hint="eastAsia" w:ascii="黑体" w:hAnsi="黑体" w:eastAsia="黑体"/>
          <w:color w:val="auto"/>
          <w:sz w:val="32"/>
          <w:szCs w:val="32"/>
        </w:rPr>
        <w:t>附件1</w:t>
      </w:r>
    </w:p>
    <w:p>
      <w:pPr>
        <w:spacing w:line="640" w:lineRule="exact"/>
        <w:jc w:val="center"/>
        <w:rPr>
          <w:rFonts w:ascii="方正小标宋简体" w:hAnsi="微软雅黑" w:eastAsia="方正小标宋简体"/>
          <w:color w:val="auto"/>
          <w:sz w:val="44"/>
          <w:szCs w:val="44"/>
        </w:rPr>
      </w:pPr>
      <w:r>
        <w:rPr>
          <w:rFonts w:hint="eastAsia" w:ascii="方正小标宋简体" w:hAnsi="微软雅黑" w:eastAsia="方正小标宋简体"/>
          <w:color w:val="auto"/>
          <w:sz w:val="44"/>
          <w:szCs w:val="44"/>
        </w:rPr>
        <w:t>河北省体育系统行政许可裁量权基准（</w:t>
      </w:r>
      <w:r>
        <w:rPr>
          <w:rFonts w:hint="eastAsia" w:ascii="方正小标宋简体" w:hAnsi="微软雅黑" w:eastAsia="方正小标宋简体"/>
          <w:color w:val="auto"/>
          <w:sz w:val="44"/>
          <w:szCs w:val="44"/>
          <w:lang w:val="en-US" w:eastAsia="zh-CN"/>
        </w:rPr>
        <w:t>试行</w:t>
      </w:r>
      <w:r>
        <w:rPr>
          <w:rFonts w:hint="eastAsia" w:ascii="方正小标宋简体" w:hAnsi="微软雅黑" w:eastAsia="方正小标宋简体"/>
          <w:color w:val="auto"/>
          <w:sz w:val="44"/>
          <w:szCs w:val="44"/>
        </w:rPr>
        <w:t>）</w:t>
      </w:r>
    </w:p>
    <w:tbl>
      <w:tblPr>
        <w:tblStyle w:val="4"/>
        <w:tblW w:w="14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9"/>
        <w:gridCol w:w="1290"/>
        <w:gridCol w:w="840"/>
        <w:gridCol w:w="894"/>
        <w:gridCol w:w="717"/>
        <w:gridCol w:w="750"/>
        <w:gridCol w:w="4029"/>
        <w:gridCol w:w="812"/>
        <w:gridCol w:w="605"/>
        <w:gridCol w:w="759"/>
        <w:gridCol w:w="1050"/>
        <w:gridCol w:w="2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19"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序号</w:t>
            </w:r>
          </w:p>
        </w:tc>
        <w:tc>
          <w:tcPr>
            <w:tcW w:w="1290"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行政许可事项具体情形</w:t>
            </w:r>
          </w:p>
        </w:tc>
        <w:tc>
          <w:tcPr>
            <w:tcW w:w="840"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行使层级</w:t>
            </w:r>
          </w:p>
        </w:tc>
        <w:tc>
          <w:tcPr>
            <w:tcW w:w="894"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省级业务指导部门</w:t>
            </w:r>
          </w:p>
        </w:tc>
        <w:tc>
          <w:tcPr>
            <w:tcW w:w="717"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法定审批时限</w:t>
            </w:r>
          </w:p>
        </w:tc>
        <w:tc>
          <w:tcPr>
            <w:tcW w:w="750"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法定办理时限</w:t>
            </w:r>
          </w:p>
        </w:tc>
        <w:tc>
          <w:tcPr>
            <w:tcW w:w="4029"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办理条件</w:t>
            </w:r>
          </w:p>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（法定依据）</w:t>
            </w:r>
          </w:p>
        </w:tc>
        <w:tc>
          <w:tcPr>
            <w:tcW w:w="812"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办件类型</w:t>
            </w:r>
          </w:p>
        </w:tc>
        <w:tc>
          <w:tcPr>
            <w:tcW w:w="605"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核验内容</w:t>
            </w:r>
          </w:p>
        </w:tc>
        <w:tc>
          <w:tcPr>
            <w:tcW w:w="759"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行政许可类型</w:t>
            </w:r>
          </w:p>
        </w:tc>
        <w:tc>
          <w:tcPr>
            <w:tcW w:w="1050"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行政许可证件名称</w:t>
            </w:r>
          </w:p>
        </w:tc>
        <w:tc>
          <w:tcPr>
            <w:tcW w:w="2168" w:type="dxa"/>
            <w:shd w:val="clear" w:color="auto" w:fill="auto"/>
            <w:vAlign w:val="center"/>
          </w:tcPr>
          <w:p>
            <w:pPr>
              <w:keepLines/>
              <w:spacing w:line="260" w:lineRule="exact"/>
              <w:jc w:val="center"/>
              <w:rPr>
                <w:rFonts w:hint="eastAsia" w:ascii="黑体" w:hAnsi="黑体" w:eastAsia="黑体" w:cs="黑体"/>
                <w:color w:val="auto"/>
                <w:sz w:val="22"/>
              </w:rPr>
            </w:pPr>
            <w:r>
              <w:rPr>
                <w:rFonts w:hint="eastAsia" w:ascii="黑体" w:hAnsi="黑体" w:eastAsia="黑体" w:cs="黑体"/>
                <w:color w:val="auto"/>
                <w:sz w:val="22"/>
              </w:rPr>
              <w:t>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3" w:hRule="atLeast"/>
          <w:jc w:val="center"/>
        </w:trPr>
        <w:tc>
          <w:tcPr>
            <w:tcW w:w="519" w:type="dxa"/>
            <w:shd w:val="clear" w:color="auto" w:fill="auto"/>
            <w:vAlign w:val="center"/>
          </w:tcPr>
          <w:p>
            <w:pPr>
              <w:keepLines/>
              <w:spacing w:line="36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1290"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举办健身气功活动及设立站点审批</w:t>
            </w:r>
          </w:p>
        </w:tc>
        <w:tc>
          <w:tcPr>
            <w:tcW w:w="840"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省级</w:t>
            </w:r>
          </w:p>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市级</w:t>
            </w:r>
          </w:p>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w:t>
            </w:r>
          </w:p>
        </w:tc>
        <w:tc>
          <w:tcPr>
            <w:tcW w:w="894"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省体育局</w:t>
            </w:r>
          </w:p>
        </w:tc>
        <w:tc>
          <w:tcPr>
            <w:tcW w:w="717"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20个工作日</w:t>
            </w:r>
          </w:p>
        </w:tc>
        <w:tc>
          <w:tcPr>
            <w:tcW w:w="750"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30个工作日</w:t>
            </w:r>
          </w:p>
        </w:tc>
        <w:tc>
          <w:tcPr>
            <w:tcW w:w="4029" w:type="dxa"/>
            <w:shd w:val="clear" w:color="auto" w:fill="auto"/>
            <w:vAlign w:val="center"/>
          </w:tcPr>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一、《健身气功管理办法》（国家体育总局令第9号）第四条 </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地方各级体育行政部门是本行政区域健身气功的业务主管部门，负责当地健身气功的组织和管理。中国健身气功协会、地方各级健身气功协会按照其章程，协助体育行政部门做好有关管理工作。</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二、《健身气功管理办法》（国家体育总局令第9号）第十一条 </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举办健身气功业务培训、交流展示、功法讲座等活动，实行属地管理。举办全国性、跨省（区、市）的健身气功活动，经国家体育总局批准。省（区、市）内举办的健身气功活动，经具有相应管辖权限的体育行政部门批准；跨地区的健身气功活动，经所跨地区共同的上一级体育行政部门批准。参加人数在二百人以上的健身气功活动，除报体育行政部门审核批准外，还应当按照《群众性文化体育活动治安管理办法》的规定经公安机关许可。</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三、《国务院对确需保留的行政审批项目设定行政许可的决定》（2016修订</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国务院令第671号）</w:t>
            </w:r>
          </w:p>
        </w:tc>
        <w:tc>
          <w:tcPr>
            <w:tcW w:w="812"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承诺件</w:t>
            </w:r>
          </w:p>
        </w:tc>
        <w:tc>
          <w:tcPr>
            <w:tcW w:w="605"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w:t>
            </w:r>
          </w:p>
        </w:tc>
        <w:tc>
          <w:tcPr>
            <w:tcW w:w="759"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条件型</w:t>
            </w:r>
          </w:p>
        </w:tc>
        <w:tc>
          <w:tcPr>
            <w:tcW w:w="1050"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准予行政许可决定书</w:t>
            </w:r>
          </w:p>
        </w:tc>
        <w:tc>
          <w:tcPr>
            <w:tcW w:w="2168" w:type="dxa"/>
            <w:shd w:val="clear" w:color="auto" w:fill="auto"/>
            <w:vAlign w:val="center"/>
          </w:tcPr>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1.申请书</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2.举办者合法的身份证明</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3.活动方案</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4.活动场地管理者同意使用的证明</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5.社会体育指导员和管理人员的资格证明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5" w:hRule="atLeast"/>
          <w:jc w:val="center"/>
        </w:trPr>
        <w:tc>
          <w:tcPr>
            <w:tcW w:w="519" w:type="dxa"/>
            <w:shd w:val="clear" w:color="auto" w:fill="auto"/>
            <w:vAlign w:val="center"/>
          </w:tcPr>
          <w:p>
            <w:pPr>
              <w:keepLines/>
              <w:spacing w:line="36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2</w:t>
            </w:r>
          </w:p>
        </w:tc>
        <w:tc>
          <w:tcPr>
            <w:tcW w:w="1290"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从事射击竞技体育运动单位审批</w:t>
            </w:r>
          </w:p>
        </w:tc>
        <w:tc>
          <w:tcPr>
            <w:tcW w:w="840"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w:t>
            </w:r>
          </w:p>
        </w:tc>
        <w:tc>
          <w:tcPr>
            <w:tcW w:w="894"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省体育局</w:t>
            </w:r>
          </w:p>
        </w:tc>
        <w:tc>
          <w:tcPr>
            <w:tcW w:w="717"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20个工作日</w:t>
            </w:r>
          </w:p>
        </w:tc>
        <w:tc>
          <w:tcPr>
            <w:tcW w:w="750"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30个工作日</w:t>
            </w:r>
          </w:p>
        </w:tc>
        <w:tc>
          <w:tcPr>
            <w:tcW w:w="4029" w:type="dxa"/>
            <w:shd w:val="clear" w:color="auto" w:fill="auto"/>
            <w:vAlign w:val="center"/>
          </w:tcPr>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一、《中华人民共和国枪支管理法》（2015年修正）第六条第一款 下列单位可以配置民用枪支:</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经省级人民政府体育行政主管部门批准专门从事射击竞技体育运动的单位、经省级人民政府公安机关批准的营业性射击场，可以配置射击运动枪支。</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二、《射击竞技体育运动枪支管理办法》（中华人民共和国国家体育总局中华人民共和国公安部令第12号）第六条 申请从事射击竞技体育运动的单位，应当符合下列条件：</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（一）具有法人资格；</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（二）具有相应资质的教练员及相关从业人员； </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（三）拥有符合国家有关规定的射击场地； </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（四）拥有符合国家有关规定的运动枪支安全保管设施；</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（五）具备运动枪支安全管理制度；</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（六）符合法律、法规规定的其他条件。</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三、《射击竞技体育运动枪支管理办法》（中华人民共和国国家体育总局中华人民共和国公安部令第12号）第七条 申请从事射击竞技体育运动的单位，应当向省级体育行政部门提交以下材料：</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（一）申请报告，内容应当包括申请单位名称和性质、开展射击运动的目的及拟开展项目、经费来源、场地情况（含靶场和枪弹库）、从业人员情况等；</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（二）业务主管单位审核意见；</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（三）法人登记证书和法定代表人身份证明及复印件；</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（四）枪弹使用安全管理规定、枪弹库安全管理规定和枪弹安全管理责任制等；</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（五）教练员资格证明及其复印件；</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（六）射击场地所有权或者使用权证明及其复印件；</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（七）所在地县级以上体育行政部门出具的射击场地合格证明；</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（八）所在地县级以上公安机关出具的运动枪支保管设施验收合格证明；</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（九）法律、法规规定需要提交的其他证明文件。</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四、《射击竞技体育运动枪支管理办法》（中华人民共和国国家体育总局中华人民共和国公安部令第12号）第八条 省级体育行政部门应当自收到申请材料之日起二十个工作日内做出是否批准的决定。决定批准的，将批准文件报国家体育总局备案，并抄送所在地省级公安机关。</w:t>
            </w:r>
          </w:p>
        </w:tc>
        <w:tc>
          <w:tcPr>
            <w:tcW w:w="812"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承诺件</w:t>
            </w:r>
          </w:p>
        </w:tc>
        <w:tc>
          <w:tcPr>
            <w:tcW w:w="605"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w:t>
            </w:r>
          </w:p>
        </w:tc>
        <w:tc>
          <w:tcPr>
            <w:tcW w:w="759"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条件型</w:t>
            </w:r>
          </w:p>
        </w:tc>
        <w:tc>
          <w:tcPr>
            <w:tcW w:w="1050" w:type="dxa"/>
            <w:shd w:val="clear" w:color="auto" w:fill="auto"/>
            <w:vAlign w:val="center"/>
          </w:tcPr>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河北省体育局关于 ××(单位)从事射击竞技体育运动单位的批复</w:t>
            </w:r>
          </w:p>
        </w:tc>
        <w:tc>
          <w:tcPr>
            <w:tcW w:w="2168" w:type="dxa"/>
            <w:shd w:val="clear" w:color="auto" w:fill="auto"/>
            <w:vAlign w:val="center"/>
          </w:tcPr>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1.从事射击竞技体育运动单位批准申请报告</w:t>
            </w:r>
          </w:p>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2.业务主管单位审核意见</w:t>
            </w:r>
          </w:p>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3.法人登记证书和法定代表人身份证明</w:t>
            </w:r>
          </w:p>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4.枪弹使用安全管理规定、枪弹库安全管理规定和枪弹安全管理责任制等</w:t>
            </w:r>
          </w:p>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5.教练员资格证明</w:t>
            </w:r>
          </w:p>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6.教练员、单位管理、运动枪支管理及运动员管理人员与申请单位签署的正式合同，且劳动合同有效期不低于3年</w:t>
            </w:r>
          </w:p>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7.法人、教练员、单位管理、运动枪支管理等岗位需要的管理人员需提供公安机关政治审查资料</w:t>
            </w:r>
          </w:p>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8.射击场地所有权或者使用权证明</w:t>
            </w:r>
          </w:p>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9.所在地县级以上体育行政部门出具的射击场合格证明</w:t>
            </w:r>
          </w:p>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10.所在地县级以上公安机关出具的运动枪支保管设施验收合格证明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5" w:hRule="atLeast"/>
          <w:jc w:val="center"/>
        </w:trPr>
        <w:tc>
          <w:tcPr>
            <w:tcW w:w="519" w:type="dxa"/>
            <w:shd w:val="clear" w:color="auto" w:fill="auto"/>
            <w:vAlign w:val="center"/>
          </w:tcPr>
          <w:p>
            <w:pPr>
              <w:keepLines/>
              <w:snapToGrid w:val="0"/>
              <w:spacing w:line="28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3</w:t>
            </w:r>
          </w:p>
        </w:tc>
        <w:tc>
          <w:tcPr>
            <w:tcW w:w="1290" w:type="dxa"/>
            <w:shd w:val="clear" w:color="auto" w:fill="auto"/>
            <w:vAlign w:val="center"/>
          </w:tcPr>
          <w:p>
            <w:pPr>
              <w:keepLines/>
              <w:snapToGrid w:val="0"/>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高危险性体育项目经营许可</w:t>
            </w:r>
          </w:p>
        </w:tc>
        <w:tc>
          <w:tcPr>
            <w:tcW w:w="840" w:type="dxa"/>
            <w:shd w:val="clear" w:color="auto" w:fill="auto"/>
            <w:vAlign w:val="center"/>
          </w:tcPr>
          <w:p>
            <w:pPr>
              <w:keepLines/>
              <w:snapToGrid w:val="0"/>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w:t>
            </w:r>
          </w:p>
        </w:tc>
        <w:tc>
          <w:tcPr>
            <w:tcW w:w="894" w:type="dxa"/>
            <w:shd w:val="clear" w:color="auto" w:fill="auto"/>
            <w:vAlign w:val="center"/>
          </w:tcPr>
          <w:p>
            <w:pPr>
              <w:keepLines/>
              <w:snapToGrid w:val="0"/>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省体育局</w:t>
            </w:r>
          </w:p>
        </w:tc>
        <w:tc>
          <w:tcPr>
            <w:tcW w:w="717" w:type="dxa"/>
            <w:shd w:val="clear" w:color="auto" w:fill="auto"/>
            <w:vAlign w:val="center"/>
          </w:tcPr>
          <w:p>
            <w:pPr>
              <w:keepLines/>
              <w:snapToGrid w:val="0"/>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20个工作日</w:t>
            </w:r>
          </w:p>
        </w:tc>
        <w:tc>
          <w:tcPr>
            <w:tcW w:w="750" w:type="dxa"/>
            <w:shd w:val="clear" w:color="auto" w:fill="auto"/>
            <w:vAlign w:val="center"/>
          </w:tcPr>
          <w:p>
            <w:pPr>
              <w:keepLines/>
              <w:snapToGrid w:val="0"/>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30个工作日</w:t>
            </w:r>
          </w:p>
        </w:tc>
        <w:tc>
          <w:tcPr>
            <w:tcW w:w="4029" w:type="dxa"/>
            <w:shd w:val="clear" w:color="auto" w:fill="auto"/>
            <w:vAlign w:val="center"/>
          </w:tcPr>
          <w:p>
            <w:pPr>
              <w:keepLines/>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《中华人民共和国体育法》（2022年修订）第一百零五条第一款  经营高危险性体育项目，应当符合下列条件，并向县级以上地方人民政府体育行政部门提出申请：</w:t>
            </w:r>
          </w:p>
          <w:p>
            <w:pPr>
              <w:keepLines/>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（一）相关体育设施符合国家标准；</w:t>
            </w:r>
          </w:p>
          <w:p>
            <w:pPr>
              <w:keepLines/>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（二）具有达到规定数量的取得相应国家职业资格证书或者职业技能等级证书的社会体育指导人员和救助人员；</w:t>
            </w:r>
          </w:p>
          <w:p>
            <w:pPr>
              <w:keepLines/>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（三）具有相应的安全保障、应急救援制度和措施。</w:t>
            </w:r>
          </w:p>
          <w:p>
            <w:pPr>
              <w:keepLines/>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县级以上地方人民政府体育行政部门应当自收到申请之日起三十日内进行实地核查，并作出批准或者不予批准的决定。予以批准的，应当发给许可证；不予批准的，应当书面通知申请人并说明理由。</w:t>
            </w:r>
          </w:p>
        </w:tc>
        <w:tc>
          <w:tcPr>
            <w:tcW w:w="812" w:type="dxa"/>
            <w:shd w:val="clear" w:color="auto" w:fill="auto"/>
            <w:vAlign w:val="center"/>
          </w:tcPr>
          <w:p>
            <w:pPr>
              <w:keepLines/>
              <w:snapToGrid w:val="0"/>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承诺件</w:t>
            </w:r>
          </w:p>
        </w:tc>
        <w:tc>
          <w:tcPr>
            <w:tcW w:w="605" w:type="dxa"/>
            <w:shd w:val="clear" w:color="auto" w:fill="auto"/>
            <w:vAlign w:val="center"/>
          </w:tcPr>
          <w:p>
            <w:pPr>
              <w:keepLines/>
              <w:snapToGrid w:val="0"/>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w:t>
            </w:r>
          </w:p>
        </w:tc>
        <w:tc>
          <w:tcPr>
            <w:tcW w:w="759" w:type="dxa"/>
            <w:shd w:val="clear" w:color="auto" w:fill="auto"/>
            <w:vAlign w:val="center"/>
          </w:tcPr>
          <w:p>
            <w:pPr>
              <w:keepLines/>
              <w:snapToGrid w:val="0"/>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条件型</w:t>
            </w:r>
          </w:p>
        </w:tc>
        <w:tc>
          <w:tcPr>
            <w:tcW w:w="1050" w:type="dxa"/>
            <w:shd w:val="clear" w:color="auto" w:fill="auto"/>
            <w:vAlign w:val="center"/>
          </w:tcPr>
          <w:p>
            <w:pPr>
              <w:keepLines/>
              <w:snapToGrid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高危险性体育项目经营许可证</w:t>
            </w:r>
          </w:p>
        </w:tc>
        <w:tc>
          <w:tcPr>
            <w:tcW w:w="2168" w:type="dxa"/>
            <w:shd w:val="clear" w:color="auto" w:fill="auto"/>
            <w:vAlign w:val="center"/>
          </w:tcPr>
          <w:p>
            <w:pPr>
              <w:keepLines/>
              <w:snapToGrid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1.确保公共体育设施开放使用安全的相对应安全保障制度和措施</w:t>
            </w:r>
          </w:p>
          <w:p>
            <w:pPr>
              <w:keepLines/>
              <w:snapToGrid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2.社会体育指导员证书</w:t>
            </w:r>
          </w:p>
          <w:p>
            <w:pPr>
              <w:keepLines/>
              <w:snapToGrid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3.申请书</w:t>
            </w:r>
          </w:p>
          <w:p>
            <w:pPr>
              <w:keepLines/>
              <w:snapToGrid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4.安全保障制度和措施</w:t>
            </w:r>
          </w:p>
          <w:p>
            <w:pPr>
              <w:keepLines/>
              <w:snapToGrid w:val="0"/>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5.经营场所使用权或所有权证明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2" w:hRule="atLeast"/>
          <w:jc w:val="center"/>
        </w:trPr>
        <w:tc>
          <w:tcPr>
            <w:tcW w:w="519" w:type="dxa"/>
            <w:shd w:val="clear" w:color="auto" w:fill="auto"/>
            <w:vAlign w:val="center"/>
          </w:tcPr>
          <w:p>
            <w:pPr>
              <w:keepLines/>
              <w:spacing w:line="24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4</w:t>
            </w:r>
          </w:p>
        </w:tc>
        <w:tc>
          <w:tcPr>
            <w:tcW w:w="1290"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临时占用公共体育场地设施审批</w:t>
            </w:r>
          </w:p>
        </w:tc>
        <w:tc>
          <w:tcPr>
            <w:tcW w:w="840"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省级、市级、县级</w:t>
            </w:r>
          </w:p>
        </w:tc>
        <w:tc>
          <w:tcPr>
            <w:tcW w:w="894"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省体育局</w:t>
            </w:r>
          </w:p>
        </w:tc>
        <w:tc>
          <w:tcPr>
            <w:tcW w:w="717"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20个工作日</w:t>
            </w:r>
          </w:p>
        </w:tc>
        <w:tc>
          <w:tcPr>
            <w:tcW w:w="750"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30个工作日</w:t>
            </w:r>
          </w:p>
        </w:tc>
        <w:tc>
          <w:tcPr>
            <w:tcW w:w="4029" w:type="dxa"/>
            <w:shd w:val="clear" w:color="auto" w:fill="auto"/>
            <w:vAlign w:val="center"/>
          </w:tcPr>
          <w:p>
            <w:pPr>
              <w:keepLines/>
              <w:spacing w:line="240" w:lineRule="exact"/>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《中华人民共和国体育法》（2022年修订）第八十七条 任何单位和个人不得侵占公共体育场地设施及其建人民政府体育行政部门同意；超过三个月设用地，不得擅自拆除公共体育场地设施，不得擅自改变公共体育场地设施的功能、用途或者妨碍其正常使用。因特殊需要临时占用公共体育场地设施超过十日的，应当经本级的，应当报上一级人民政府体育行政部门批准。</w:t>
            </w:r>
          </w:p>
        </w:tc>
        <w:tc>
          <w:tcPr>
            <w:tcW w:w="812"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承诺件</w:t>
            </w:r>
          </w:p>
        </w:tc>
        <w:tc>
          <w:tcPr>
            <w:tcW w:w="605"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w:t>
            </w:r>
          </w:p>
        </w:tc>
        <w:tc>
          <w:tcPr>
            <w:tcW w:w="759"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条件型</w:t>
            </w:r>
          </w:p>
        </w:tc>
        <w:tc>
          <w:tcPr>
            <w:tcW w:w="1050" w:type="dxa"/>
            <w:shd w:val="clear" w:color="auto" w:fill="auto"/>
            <w:vAlign w:val="center"/>
          </w:tcPr>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河北省体育局关于同意××临时占用××（公共体育设施）的决定</w:t>
            </w:r>
          </w:p>
        </w:tc>
        <w:tc>
          <w:tcPr>
            <w:tcW w:w="2168" w:type="dxa"/>
            <w:shd w:val="clear" w:color="auto" w:fill="auto"/>
            <w:vAlign w:val="center"/>
          </w:tcPr>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1.法定代表人身份复印件</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2.规范使用、按期归还合同协议书</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3.临时占用对公共体育设施开放与使用可能造成的影响分析</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4.申请表</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5.确保公共体育设施开放使用安全的相对应安全保障制度和措施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4" w:hRule="atLeast"/>
          <w:jc w:val="center"/>
        </w:trPr>
        <w:tc>
          <w:tcPr>
            <w:tcW w:w="519" w:type="dxa"/>
            <w:shd w:val="clear" w:color="auto" w:fill="auto"/>
            <w:vAlign w:val="center"/>
          </w:tcPr>
          <w:p>
            <w:pPr>
              <w:keepLines/>
              <w:spacing w:line="36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5</w:t>
            </w:r>
          </w:p>
        </w:tc>
        <w:tc>
          <w:tcPr>
            <w:tcW w:w="1290"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举办高危险性体育赛事活动许可</w:t>
            </w:r>
          </w:p>
        </w:tc>
        <w:tc>
          <w:tcPr>
            <w:tcW w:w="840"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w:t>
            </w:r>
          </w:p>
        </w:tc>
        <w:tc>
          <w:tcPr>
            <w:tcW w:w="894"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省体育局</w:t>
            </w:r>
          </w:p>
        </w:tc>
        <w:tc>
          <w:tcPr>
            <w:tcW w:w="717"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20日</w:t>
            </w:r>
          </w:p>
        </w:tc>
        <w:tc>
          <w:tcPr>
            <w:tcW w:w="750" w:type="dxa"/>
            <w:shd w:val="clear" w:color="auto" w:fill="auto"/>
            <w:vAlign w:val="center"/>
          </w:tcPr>
          <w:p>
            <w:pPr>
              <w:keepLines/>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30日</w:t>
            </w:r>
          </w:p>
        </w:tc>
        <w:tc>
          <w:tcPr>
            <w:tcW w:w="4029" w:type="dxa"/>
            <w:shd w:val="clear" w:color="auto" w:fill="auto"/>
            <w:vAlign w:val="center"/>
          </w:tcPr>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一、《中华人民共和国体育法》（2022年修订）第一百零六条第一款   举办高危险性体育赛事活动，应当符合下列条件，并向县级以上地方人民政府体育行政部门提出申请：</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（一）配备具有相应资格或者资质的专业技术人员；</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（二）配置符合相关标准和要求的场地、器材和设施；</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（三）制定通信、安全、交通、卫生健康、食品、应急救援等相关保障措施。</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县级以上地方人民政府体育行政部门应当自收到申请之日起三十日内进行实地核查，并作出批准或者不予批准的决定。</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二、《体育赛事活动管理办法》（2023年1月1日国家体育总局令第31号发布）。</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三、《高危险性体育赛事活动目录（第一批）》（2023年1月1日体育总局、工业和信息化部、公安部、人力资源社会保障部、卫生健康委、应急部、市场监管总局公告第63号发布）。</w:t>
            </w:r>
          </w:p>
          <w:p>
            <w:pPr>
              <w:keepNext w:val="0"/>
              <w:keepLines/>
              <w:pageBreakBefore w:val="0"/>
              <w:widowControl w:val="0"/>
              <w:kinsoku/>
              <w:wordWrap/>
              <w:overflowPunct/>
              <w:topLinePunct w:val="0"/>
              <w:autoSpaceDE/>
              <w:autoSpaceDN/>
              <w:bidi w:val="0"/>
              <w:adjustRightInd/>
              <w:snapToGrid/>
              <w:spacing w:line="240" w:lineRule="exact"/>
              <w:ind w:firstLine="360" w:firstLineChars="200"/>
              <w:textAlignment w:val="auto"/>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四、《体育总局关于做好高危险性体育赛事活动管理工作的通知》（体政规字〔2023〕2号）。</w:t>
            </w:r>
          </w:p>
        </w:tc>
        <w:tc>
          <w:tcPr>
            <w:tcW w:w="812"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承诺件</w:t>
            </w:r>
          </w:p>
        </w:tc>
        <w:tc>
          <w:tcPr>
            <w:tcW w:w="605"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w:t>
            </w:r>
          </w:p>
        </w:tc>
        <w:tc>
          <w:tcPr>
            <w:tcW w:w="759" w:type="dxa"/>
            <w:shd w:val="clear" w:color="auto" w:fill="auto"/>
            <w:vAlign w:val="center"/>
          </w:tcPr>
          <w:p>
            <w:pPr>
              <w:keepLines/>
              <w:spacing w:line="240" w:lineRule="exact"/>
              <w:jc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条件型</w:t>
            </w:r>
          </w:p>
        </w:tc>
        <w:tc>
          <w:tcPr>
            <w:tcW w:w="1050" w:type="dxa"/>
            <w:shd w:val="clear" w:color="auto" w:fill="auto"/>
            <w:vAlign w:val="center"/>
          </w:tcPr>
          <w:p>
            <w:pPr>
              <w:keepLines/>
              <w:spacing w:line="240" w:lineRule="exac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河北省体育局关于同意××（单位）举办高危险性体育赛事活动的决定</w:t>
            </w:r>
          </w:p>
        </w:tc>
        <w:tc>
          <w:tcPr>
            <w:tcW w:w="2168" w:type="dxa"/>
            <w:shd w:val="clear" w:color="auto" w:fill="auto"/>
          </w:tcPr>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1.申请书。申请书应当包括体育赛事活动的名称、时间、地点、规模、主办方、承办方、协办方、参赛条件等内容</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2.专业技术人员的资格或资质证明材料</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3.场地、器材和设施符合相关标准和要求的说明性材料</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4.主办方、承办方、协办方等体育赛事活动组织者用以约定各方权利义务和责任分工的书面协议</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5.风险评估报告、风险防范及应急处置预案、安全工作方案、医疗保障及救援方案、赛事活动“熔断”机制、赛事活动组织方案等材料</w:t>
            </w:r>
          </w:p>
          <w:p>
            <w:pPr>
              <w:keepLines/>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6.法律法规规定的其他材料</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OTcwNTAxZmZlYWFkYjNjMzAwYzAyZWM4NDQ2NDcifQ=="/>
  </w:docVars>
  <w:rsids>
    <w:rsidRoot w:val="1D0338A4"/>
    <w:rsid w:val="1D0338A4"/>
    <w:rsid w:val="70CA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20" w:lineRule="exact"/>
      <w:jc w:val="both"/>
    </w:pPr>
    <w:rPr>
      <w:rFonts w:ascii="Times New Roman" w:hAnsi="Times New Roman" w:eastAsia="仿宋" w:cs="华文楷体"/>
      <w:w w:val="100"/>
      <w:kern w:val="2"/>
      <w:sz w:val="30"/>
      <w:szCs w:val="24"/>
      <w:lang w:val="en-US" w:eastAsia="zh-CN" w:bidi="ar-SA"/>
    </w:rPr>
  </w:style>
  <w:style w:type="paragraph" w:styleId="2">
    <w:name w:val="heading 2"/>
    <w:basedOn w:val="1"/>
    <w:next w:val="1"/>
    <w:autoRedefine/>
    <w:qFormat/>
    <w:uiPriority w:val="0"/>
    <w:pPr>
      <w:spacing w:before="100" w:beforeAutospacing="1" w:after="100" w:afterAutospacing="1" w:line="240" w:lineRule="auto"/>
      <w:ind w:firstLine="0"/>
      <w:jc w:val="left"/>
      <w:outlineLvl w:val="1"/>
    </w:pPr>
    <w:rPr>
      <w:rFonts w:ascii="宋体" w:hAnsi="宋体" w:eastAsia="宋体" w:cs="Times New Roman"/>
      <w:b/>
      <w:kern w:val="0"/>
      <w:sz w:val="36"/>
      <w:szCs w:val="36"/>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2023-10-19T02:30:00Z</dcterms:created>
  <dc:creator> 路小璐 ✨</dc:creator>
  <cp:lastModifiedBy>WPS_1615035468</cp:lastModifiedBy>
  <dcterms:modified xsi:type="dcterms:W3CDTF">2023-12-06T07:11:39Z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CF497BCAF06D4E9396704616B77D1CB9_11</vt:lpwstr>
  </property>
</Properties>
</file>